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250B4">
      <w:pPr>
        <w:spacing w:after="0" w:line="276" w:lineRule="auto"/>
        <w:jc w:val="center"/>
        <w:rPr>
          <w:rFonts w:ascii="Arial" w:hAnsi="Arial" w:cs="Arial"/>
          <w:b/>
          <w:bCs/>
          <w:sz w:val="24"/>
          <w:szCs w:val="24"/>
        </w:rPr>
      </w:pPr>
      <w:r>
        <w:rPr>
          <w:rFonts w:ascii="Arial" w:hAnsi="Arial" w:cs="Arial"/>
          <w:b/>
          <w:bCs/>
          <w:sz w:val="24"/>
          <w:szCs w:val="24"/>
        </w:rPr>
        <w:t>TERMO DE REFERÊNCIA</w:t>
      </w:r>
    </w:p>
    <w:p w14:paraId="331D7E7C">
      <w:pPr>
        <w:spacing w:after="0" w:line="276" w:lineRule="auto"/>
        <w:jc w:val="center"/>
        <w:rPr>
          <w:rFonts w:ascii="Arial" w:hAnsi="Arial" w:cs="Arial"/>
          <w:b/>
          <w:bCs/>
          <w:sz w:val="24"/>
          <w:szCs w:val="24"/>
        </w:rPr>
      </w:pPr>
    </w:p>
    <w:p w14:paraId="6BD67E86">
      <w:pPr>
        <w:spacing w:after="0" w:line="276" w:lineRule="auto"/>
        <w:jc w:val="center"/>
        <w:rPr>
          <w:rFonts w:ascii="Arial" w:hAnsi="Arial" w:cs="Arial"/>
          <w:b/>
          <w:bCs/>
          <w:sz w:val="24"/>
          <w:szCs w:val="24"/>
        </w:rPr>
      </w:pPr>
      <w:bookmarkStart w:id="0" w:name="_GoBack"/>
      <w:bookmarkEnd w:id="0"/>
    </w:p>
    <w:p w14:paraId="2A0ACA68">
      <w:pPr>
        <w:spacing w:after="0" w:line="276" w:lineRule="auto"/>
        <w:jc w:val="both"/>
        <w:rPr>
          <w:rFonts w:ascii="Arial" w:hAnsi="Arial" w:cs="Arial"/>
          <w:b/>
          <w:bCs/>
          <w:sz w:val="24"/>
          <w:szCs w:val="24"/>
        </w:rPr>
      </w:pPr>
      <w:r>
        <w:rPr>
          <w:rFonts w:ascii="Arial" w:hAnsi="Arial" w:cs="Arial"/>
          <w:b/>
          <w:bCs/>
          <w:sz w:val="24"/>
          <w:szCs w:val="24"/>
        </w:rPr>
        <w:t>1. OBJETO</w:t>
      </w:r>
    </w:p>
    <w:p w14:paraId="37F7337B">
      <w:pPr>
        <w:spacing w:after="0" w:line="276" w:lineRule="auto"/>
        <w:jc w:val="both"/>
        <w:rPr>
          <w:rFonts w:ascii="Arial" w:hAnsi="Arial" w:cs="Arial"/>
          <w:sz w:val="24"/>
          <w:szCs w:val="24"/>
        </w:rPr>
      </w:pPr>
    </w:p>
    <w:p w14:paraId="09E3BE6C">
      <w:pPr>
        <w:spacing w:line="276" w:lineRule="auto"/>
        <w:jc w:val="both"/>
        <w:rPr>
          <w:rFonts w:ascii="Arial" w:hAnsi="Arial" w:cs="Arial"/>
          <w:sz w:val="24"/>
          <w:szCs w:val="24"/>
        </w:rPr>
      </w:pPr>
      <w:r>
        <w:rPr>
          <w:rFonts w:ascii="Arial" w:hAnsi="Arial" w:cs="Arial"/>
          <w:sz w:val="24"/>
          <w:szCs w:val="24"/>
        </w:rPr>
        <w:t xml:space="preserve">Aquisição de </w:t>
      </w:r>
      <w:r>
        <w:rPr>
          <w:rFonts w:ascii="Arial" w:hAnsi="Arial" w:cs="Arial"/>
          <w:sz w:val="24"/>
          <w:szCs w:val="24"/>
          <w:highlight w:val="darkGray"/>
        </w:rPr>
        <w:t>XXXXXXXXXXXXXXXXXXXXXXX</w:t>
      </w:r>
      <w:r>
        <w:rPr>
          <w:rFonts w:ascii="Arial" w:hAnsi="Arial" w:cs="Arial"/>
          <w:sz w:val="24"/>
          <w:szCs w:val="24"/>
        </w:rPr>
        <w:t xml:space="preserve"> para atender a demanda do </w:t>
      </w:r>
      <w:r>
        <w:rPr>
          <w:rFonts w:ascii="Arial" w:hAnsi="Arial" w:cs="Arial"/>
          <w:sz w:val="24"/>
          <w:szCs w:val="24"/>
          <w:highlight w:val="darkGray"/>
        </w:rPr>
        <w:t>XXXXXXXXXXXXXXXXXXXX</w:t>
      </w:r>
      <w:r>
        <w:rPr>
          <w:rFonts w:ascii="Arial" w:hAnsi="Arial" w:cs="Arial"/>
          <w:sz w:val="24"/>
          <w:szCs w:val="24"/>
        </w:rPr>
        <w:t>, conforme especificações da planilha abaixo:</w:t>
      </w:r>
    </w:p>
    <w:p w14:paraId="74667381">
      <w:pPr>
        <w:spacing w:after="0" w:line="276" w:lineRule="auto"/>
        <w:jc w:val="both"/>
        <w:rPr>
          <w:rFonts w:ascii="Arial" w:hAnsi="Arial" w:cs="Arial"/>
          <w:sz w:val="20"/>
          <w:szCs w:val="20"/>
        </w:rPr>
      </w:pPr>
    </w:p>
    <w:p w14:paraId="5F4A5F57">
      <w:pPr>
        <w:spacing w:after="0" w:line="276" w:lineRule="auto"/>
        <w:jc w:val="both"/>
        <w:rPr>
          <w:rFonts w:ascii="Arial" w:hAnsi="Arial" w:cs="Arial"/>
          <w:sz w:val="20"/>
          <w:szCs w:val="20"/>
          <w:highlight w:val="darkGray"/>
        </w:rPr>
      </w:pPr>
      <w:r>
        <w:rPr>
          <w:rFonts w:ascii="Arial" w:hAnsi="Arial" w:cs="Arial"/>
          <w:sz w:val="20"/>
          <w:szCs w:val="20"/>
          <w:highlight w:val="darkGray"/>
        </w:rPr>
        <w:t xml:space="preserve">Quando for composto </w:t>
      </w:r>
      <w:r>
        <w:rPr>
          <w:rFonts w:ascii="Arial" w:hAnsi="Arial" w:cs="Arial"/>
          <w:sz w:val="20"/>
          <w:szCs w:val="20"/>
          <w:highlight w:val="darkGray"/>
          <w:u w:val="single"/>
        </w:rPr>
        <w:t>por itens</w:t>
      </w:r>
      <w:r>
        <w:rPr>
          <w:rFonts w:ascii="Arial" w:hAnsi="Arial" w:cs="Arial"/>
          <w:sz w:val="20"/>
          <w:szCs w:val="20"/>
          <w:highlight w:val="darkGray"/>
        </w:rPr>
        <w:t>:</w:t>
      </w:r>
    </w:p>
    <w:p w14:paraId="757CB86F">
      <w:pPr>
        <w:spacing w:after="0" w:line="276" w:lineRule="auto"/>
        <w:jc w:val="both"/>
        <w:rPr>
          <w:rFonts w:ascii="Arial" w:hAnsi="Arial" w:cs="Arial"/>
          <w:sz w:val="20"/>
          <w:szCs w:val="20"/>
          <w:highlight w:val="darkGray"/>
        </w:rPr>
      </w:pPr>
    </w:p>
    <w:p w14:paraId="761B0F8B">
      <w:pPr>
        <w:spacing w:after="0" w:line="276" w:lineRule="auto"/>
        <w:jc w:val="both"/>
        <w:rPr>
          <w:rFonts w:ascii="Arial" w:hAnsi="Arial" w:cs="Arial"/>
          <w:sz w:val="20"/>
          <w:szCs w:val="20"/>
          <w:highlight w:val="lightGray"/>
        </w:rPr>
      </w:pPr>
    </w:p>
    <w:tbl>
      <w:tblPr>
        <w:tblStyle w:val="3"/>
        <w:tblW w:w="9211" w:type="dxa"/>
        <w:tblInd w:w="-70" w:type="dxa"/>
        <w:tblLayout w:type="fixed"/>
        <w:tblCellMar>
          <w:top w:w="0" w:type="dxa"/>
          <w:left w:w="108" w:type="dxa"/>
          <w:bottom w:w="0" w:type="dxa"/>
          <w:right w:w="108" w:type="dxa"/>
        </w:tblCellMar>
      </w:tblPr>
      <w:tblGrid>
        <w:gridCol w:w="632"/>
        <w:gridCol w:w="1134"/>
        <w:gridCol w:w="1843"/>
        <w:gridCol w:w="1418"/>
        <w:gridCol w:w="708"/>
        <w:gridCol w:w="567"/>
        <w:gridCol w:w="2059"/>
        <w:gridCol w:w="850"/>
      </w:tblGrid>
      <w:tr w14:paraId="7C32F0A5">
        <w:tblPrEx>
          <w:tblCellMar>
            <w:top w:w="0" w:type="dxa"/>
            <w:left w:w="108" w:type="dxa"/>
            <w:bottom w:w="0" w:type="dxa"/>
            <w:right w:w="108" w:type="dxa"/>
          </w:tblCellMar>
        </w:tblPrEx>
        <w:trPr>
          <w:trHeight w:val="1055" w:hRule="atLeast"/>
        </w:trPr>
        <w:tc>
          <w:tcPr>
            <w:tcW w:w="632"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02BF54ED">
            <w:pPr>
              <w:spacing w:line="276" w:lineRule="auto"/>
              <w:rPr>
                <w:rFonts w:ascii="Arial" w:hAnsi="Arial" w:cs="Arial"/>
                <w:sz w:val="20"/>
                <w:szCs w:val="20"/>
              </w:rPr>
            </w:pPr>
            <w:r>
              <w:rPr>
                <w:rFonts w:ascii="Arial" w:hAnsi="Arial" w:cs="Arial"/>
                <w:sz w:val="20"/>
                <w:szCs w:val="20"/>
              </w:rPr>
              <w:t>Item</w:t>
            </w:r>
          </w:p>
        </w:tc>
        <w:tc>
          <w:tcPr>
            <w:tcW w:w="1134"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314A43E4">
            <w:pPr>
              <w:spacing w:line="276" w:lineRule="auto"/>
              <w:rPr>
                <w:rFonts w:ascii="Arial" w:hAnsi="Arial" w:cs="Arial"/>
                <w:sz w:val="20"/>
                <w:szCs w:val="20"/>
              </w:rPr>
            </w:pPr>
            <w:r>
              <w:rPr>
                <w:rFonts w:ascii="Arial" w:hAnsi="Arial" w:cs="Arial"/>
                <w:sz w:val="20"/>
                <w:szCs w:val="20"/>
              </w:rPr>
              <w:t>Cód.GMS</w:t>
            </w:r>
          </w:p>
        </w:tc>
        <w:tc>
          <w:tcPr>
            <w:tcW w:w="1843"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2F14CC2C">
            <w:pPr>
              <w:spacing w:line="276" w:lineRule="auto"/>
              <w:rPr>
                <w:rFonts w:ascii="Arial" w:hAnsi="Arial" w:cs="Arial"/>
                <w:sz w:val="20"/>
                <w:szCs w:val="20"/>
              </w:rPr>
            </w:pPr>
            <w:r>
              <w:rPr>
                <w:rFonts w:ascii="Arial" w:hAnsi="Arial" w:cs="Arial"/>
                <w:sz w:val="20"/>
                <w:szCs w:val="20"/>
              </w:rPr>
              <w:t>Cód. CAT/MATComprasGov</w:t>
            </w:r>
          </w:p>
        </w:tc>
        <w:tc>
          <w:tcPr>
            <w:tcW w:w="1418"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7DCD589E">
            <w:pPr>
              <w:spacing w:line="276" w:lineRule="auto"/>
              <w:rPr>
                <w:rFonts w:ascii="Arial" w:hAnsi="Arial" w:cs="Arial"/>
                <w:sz w:val="20"/>
                <w:szCs w:val="20"/>
              </w:rPr>
            </w:pPr>
            <w:r>
              <w:rPr>
                <w:rFonts w:ascii="Arial" w:hAnsi="Arial" w:cs="Arial"/>
                <w:sz w:val="20"/>
                <w:szCs w:val="20"/>
              </w:rPr>
              <w:t>Especificação</w:t>
            </w:r>
          </w:p>
        </w:tc>
        <w:tc>
          <w:tcPr>
            <w:tcW w:w="708"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1A25A03D">
            <w:pPr>
              <w:spacing w:line="276" w:lineRule="auto"/>
              <w:rPr>
                <w:rFonts w:ascii="Arial" w:hAnsi="Arial" w:cs="Arial"/>
                <w:sz w:val="20"/>
                <w:szCs w:val="20"/>
              </w:rPr>
            </w:pPr>
            <w:r>
              <w:rPr>
                <w:rFonts w:ascii="Arial" w:hAnsi="Arial" w:cs="Arial"/>
                <w:sz w:val="20"/>
                <w:szCs w:val="20"/>
              </w:rPr>
              <w:t>Qtde</w:t>
            </w:r>
          </w:p>
        </w:tc>
        <w:tc>
          <w:tcPr>
            <w:tcW w:w="567"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068BDA93">
            <w:pPr>
              <w:spacing w:line="276" w:lineRule="auto"/>
              <w:rPr>
                <w:rFonts w:ascii="Arial" w:hAnsi="Arial" w:cs="Arial"/>
                <w:sz w:val="20"/>
                <w:szCs w:val="20"/>
              </w:rPr>
            </w:pPr>
            <w:r>
              <w:rPr>
                <w:rFonts w:ascii="Arial" w:hAnsi="Arial" w:cs="Arial"/>
                <w:sz w:val="20"/>
                <w:szCs w:val="20"/>
              </w:rPr>
              <w:t>Unid</w:t>
            </w:r>
          </w:p>
        </w:tc>
        <w:tc>
          <w:tcPr>
            <w:tcW w:w="2059"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2D94DDC0">
            <w:pPr>
              <w:spacing w:after="0" w:line="276" w:lineRule="auto"/>
              <w:rPr>
                <w:rFonts w:ascii="Arial" w:hAnsi="Arial" w:cs="Arial"/>
                <w:sz w:val="20"/>
                <w:szCs w:val="20"/>
              </w:rPr>
            </w:pPr>
            <w:r>
              <w:rPr>
                <w:rFonts w:ascii="Arial" w:hAnsi="Arial" w:cs="Arial"/>
                <w:sz w:val="20"/>
                <w:szCs w:val="20"/>
              </w:rPr>
              <w:t>Vl.Máx Unit</w:t>
            </w:r>
          </w:p>
          <w:p w14:paraId="02A40A45">
            <w:pPr>
              <w:spacing w:line="276" w:lineRule="auto"/>
              <w:jc w:val="both"/>
              <w:rPr>
                <w:rFonts w:ascii="Arial" w:hAnsi="Arial" w:cs="Arial"/>
                <w:sz w:val="20"/>
                <w:szCs w:val="20"/>
              </w:rPr>
            </w:pPr>
            <w:r>
              <w:rPr>
                <w:rFonts w:ascii="Arial" w:hAnsi="Arial" w:cs="Arial"/>
                <w:sz w:val="20"/>
                <w:szCs w:val="20"/>
              </w:rPr>
              <w:t>(CRITÉRIO DE ACEITABILIDADE DE PREÇOS)</w:t>
            </w:r>
          </w:p>
        </w:tc>
        <w:tc>
          <w:tcPr>
            <w:tcW w:w="850"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7303E4A9">
            <w:pPr>
              <w:spacing w:line="276" w:lineRule="auto"/>
              <w:rPr>
                <w:rFonts w:ascii="Arial" w:hAnsi="Arial" w:cs="Arial"/>
                <w:sz w:val="20"/>
                <w:szCs w:val="20"/>
              </w:rPr>
            </w:pPr>
            <w:r>
              <w:rPr>
                <w:rFonts w:ascii="Arial" w:hAnsi="Arial" w:cs="Arial"/>
                <w:sz w:val="20"/>
                <w:szCs w:val="20"/>
              </w:rPr>
              <w:t>Vl.Máx Total</w:t>
            </w:r>
          </w:p>
        </w:tc>
      </w:tr>
      <w:tr w14:paraId="1904C30C">
        <w:tblPrEx>
          <w:tblCellMar>
            <w:top w:w="0" w:type="dxa"/>
            <w:left w:w="108" w:type="dxa"/>
            <w:bottom w:w="0" w:type="dxa"/>
            <w:right w:w="108" w:type="dxa"/>
          </w:tblCellMar>
        </w:tblPrEx>
        <w:trPr>
          <w:trHeight w:val="910" w:hRule="atLeast"/>
        </w:trPr>
        <w:tc>
          <w:tcPr>
            <w:tcW w:w="632"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55CA8B7B">
            <w:pPr>
              <w:spacing w:line="276" w:lineRule="auto"/>
              <w:rPr>
                <w:rFonts w:ascii="Arial" w:hAnsi="Arial" w:cs="Arial"/>
                <w:sz w:val="20"/>
                <w:szCs w:val="20"/>
              </w:rPr>
            </w:pPr>
            <w:r>
              <w:rPr>
                <w:rFonts w:ascii="Arial" w:hAnsi="Arial" w:cs="Arial"/>
                <w:sz w:val="20"/>
                <w:szCs w:val="20"/>
                <w:highlight w:val="darkGray"/>
              </w:rPr>
              <w:t>1</w:t>
            </w:r>
          </w:p>
        </w:tc>
        <w:tc>
          <w:tcPr>
            <w:tcW w:w="1134"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20B32C2B">
            <w:pPr>
              <w:spacing w:line="276" w:lineRule="auto"/>
              <w:rPr>
                <w:rFonts w:ascii="Arial" w:hAnsi="Arial" w:cs="Arial"/>
                <w:sz w:val="20"/>
                <w:szCs w:val="20"/>
              </w:rPr>
            </w:pPr>
          </w:p>
          <w:p w14:paraId="4D4FF2B4">
            <w:pPr>
              <w:spacing w:line="276" w:lineRule="auto"/>
              <w:rPr>
                <w:rFonts w:ascii="Arial" w:hAnsi="Arial" w:cs="Arial"/>
                <w:sz w:val="20"/>
                <w:szCs w:val="20"/>
              </w:rPr>
            </w:pPr>
          </w:p>
        </w:tc>
        <w:tc>
          <w:tcPr>
            <w:tcW w:w="1843"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2362A0A8">
            <w:pPr>
              <w:spacing w:line="276" w:lineRule="auto"/>
              <w:rPr>
                <w:rFonts w:ascii="Arial" w:hAnsi="Arial" w:cs="Arial"/>
                <w:sz w:val="20"/>
                <w:szCs w:val="20"/>
              </w:rPr>
            </w:pPr>
          </w:p>
        </w:tc>
        <w:tc>
          <w:tcPr>
            <w:tcW w:w="1418"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0E6A0ED0">
            <w:pPr>
              <w:spacing w:line="276" w:lineRule="auto"/>
              <w:rPr>
                <w:rFonts w:ascii="Arial" w:hAnsi="Arial" w:cs="Arial"/>
                <w:sz w:val="20"/>
                <w:szCs w:val="20"/>
              </w:rPr>
            </w:pPr>
          </w:p>
        </w:tc>
        <w:tc>
          <w:tcPr>
            <w:tcW w:w="708"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3DF35FE2">
            <w:pPr>
              <w:spacing w:line="276" w:lineRule="auto"/>
              <w:rPr>
                <w:rFonts w:ascii="Arial" w:hAnsi="Arial" w:cs="Arial"/>
                <w:sz w:val="20"/>
                <w:szCs w:val="20"/>
              </w:rPr>
            </w:pPr>
          </w:p>
        </w:tc>
        <w:tc>
          <w:tcPr>
            <w:tcW w:w="567"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33EA5F95">
            <w:pPr>
              <w:spacing w:line="276" w:lineRule="auto"/>
              <w:rPr>
                <w:rFonts w:ascii="Arial" w:hAnsi="Arial" w:cs="Arial"/>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0A785809">
            <w:pPr>
              <w:spacing w:line="276" w:lineRule="auto"/>
              <w:rPr>
                <w:rFonts w:ascii="Arial" w:hAnsi="Arial" w:cs="Arial"/>
                <w:sz w:val="20"/>
                <w:szCs w:val="20"/>
              </w:rPr>
            </w:pPr>
            <w:r>
              <w:rPr>
                <w:rFonts w:ascii="Arial" w:hAnsi="Arial" w:cs="Arial"/>
                <w:sz w:val="20"/>
                <w:szCs w:val="20"/>
                <w:highlight w:val="darkGray"/>
              </w:rPr>
              <w:t>R$</w:t>
            </w:r>
          </w:p>
        </w:tc>
        <w:tc>
          <w:tcPr>
            <w:tcW w:w="850"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0DC30CBC">
            <w:pPr>
              <w:spacing w:line="276" w:lineRule="auto"/>
              <w:rPr>
                <w:rFonts w:ascii="Arial" w:hAnsi="Arial" w:cs="Arial"/>
                <w:sz w:val="20"/>
                <w:szCs w:val="20"/>
              </w:rPr>
            </w:pPr>
            <w:r>
              <w:rPr>
                <w:rFonts w:ascii="Arial" w:hAnsi="Arial" w:cs="Arial"/>
                <w:sz w:val="20"/>
                <w:szCs w:val="20"/>
                <w:highlight w:val="darkGray"/>
              </w:rPr>
              <w:t>R$</w:t>
            </w:r>
          </w:p>
        </w:tc>
      </w:tr>
      <w:tr w14:paraId="7B4864D6">
        <w:tblPrEx>
          <w:tblCellMar>
            <w:top w:w="0" w:type="dxa"/>
            <w:left w:w="108" w:type="dxa"/>
            <w:bottom w:w="0" w:type="dxa"/>
            <w:right w:w="108" w:type="dxa"/>
          </w:tblCellMar>
        </w:tblPrEx>
        <w:trPr>
          <w:trHeight w:val="303" w:hRule="atLeast"/>
        </w:trPr>
        <w:tc>
          <w:tcPr>
            <w:tcW w:w="632"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69C4354E">
            <w:pPr>
              <w:spacing w:line="276" w:lineRule="auto"/>
              <w:rPr>
                <w:rFonts w:ascii="Arial" w:hAnsi="Arial" w:cs="Arial"/>
                <w:sz w:val="20"/>
                <w:szCs w:val="20"/>
              </w:rPr>
            </w:pPr>
            <w:r>
              <w:rPr>
                <w:rFonts w:ascii="Arial" w:hAnsi="Arial" w:cs="Arial"/>
                <w:sz w:val="20"/>
                <w:szCs w:val="20"/>
                <w:highlight w:val="darkGray"/>
              </w:rPr>
              <w:t>2</w:t>
            </w:r>
          </w:p>
        </w:tc>
        <w:tc>
          <w:tcPr>
            <w:tcW w:w="1134"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298D364B">
            <w:pPr>
              <w:spacing w:line="276" w:lineRule="auto"/>
              <w:rPr>
                <w:rFonts w:ascii="Arial" w:hAnsi="Arial" w:cs="Arial"/>
                <w:sz w:val="20"/>
                <w:szCs w:val="20"/>
              </w:rPr>
            </w:pPr>
          </w:p>
          <w:p w14:paraId="401493F0">
            <w:pPr>
              <w:spacing w:line="276" w:lineRule="auto"/>
              <w:rPr>
                <w:rFonts w:ascii="Arial" w:hAnsi="Arial" w:cs="Arial"/>
                <w:sz w:val="20"/>
                <w:szCs w:val="20"/>
              </w:rPr>
            </w:pPr>
          </w:p>
        </w:tc>
        <w:tc>
          <w:tcPr>
            <w:tcW w:w="1843"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2873B012">
            <w:pPr>
              <w:spacing w:line="276" w:lineRule="auto"/>
              <w:rPr>
                <w:rFonts w:ascii="Arial" w:hAnsi="Arial" w:cs="Arial"/>
                <w:sz w:val="20"/>
                <w:szCs w:val="20"/>
              </w:rPr>
            </w:pPr>
          </w:p>
        </w:tc>
        <w:tc>
          <w:tcPr>
            <w:tcW w:w="1418"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33F1418B">
            <w:pPr>
              <w:spacing w:line="276" w:lineRule="auto"/>
              <w:rPr>
                <w:rFonts w:ascii="Arial" w:hAnsi="Arial" w:cs="Arial"/>
                <w:sz w:val="20"/>
                <w:szCs w:val="20"/>
              </w:rPr>
            </w:pPr>
          </w:p>
        </w:tc>
        <w:tc>
          <w:tcPr>
            <w:tcW w:w="708"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3A3B837C">
            <w:pPr>
              <w:spacing w:line="276" w:lineRule="auto"/>
              <w:rPr>
                <w:rFonts w:ascii="Arial" w:hAnsi="Arial" w:cs="Arial"/>
                <w:sz w:val="20"/>
                <w:szCs w:val="20"/>
              </w:rPr>
            </w:pPr>
          </w:p>
        </w:tc>
        <w:tc>
          <w:tcPr>
            <w:tcW w:w="567"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2CF4D31D">
            <w:pPr>
              <w:spacing w:line="276" w:lineRule="auto"/>
              <w:rPr>
                <w:rFonts w:ascii="Arial" w:hAnsi="Arial" w:cs="Arial"/>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2E49EB12">
            <w:pPr>
              <w:spacing w:line="276" w:lineRule="auto"/>
              <w:rPr>
                <w:rFonts w:ascii="Arial" w:hAnsi="Arial" w:cs="Arial"/>
                <w:sz w:val="20"/>
                <w:szCs w:val="20"/>
              </w:rPr>
            </w:pPr>
            <w:r>
              <w:rPr>
                <w:rFonts w:ascii="Arial" w:hAnsi="Arial" w:cs="Arial"/>
                <w:sz w:val="20"/>
                <w:szCs w:val="20"/>
                <w:highlight w:val="darkGray"/>
              </w:rPr>
              <w:t>R$</w:t>
            </w:r>
          </w:p>
        </w:tc>
        <w:tc>
          <w:tcPr>
            <w:tcW w:w="850"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0CFDFF19">
            <w:pPr>
              <w:spacing w:line="276" w:lineRule="auto"/>
              <w:rPr>
                <w:rFonts w:ascii="Arial" w:hAnsi="Arial" w:cs="Arial"/>
                <w:sz w:val="20"/>
                <w:szCs w:val="20"/>
              </w:rPr>
            </w:pPr>
            <w:r>
              <w:rPr>
                <w:rFonts w:ascii="Arial" w:hAnsi="Arial" w:cs="Arial"/>
                <w:sz w:val="20"/>
                <w:szCs w:val="20"/>
                <w:highlight w:val="darkGray"/>
              </w:rPr>
              <w:t>R$</w:t>
            </w:r>
          </w:p>
        </w:tc>
      </w:tr>
    </w:tbl>
    <w:p w14:paraId="124E80A0">
      <w:pPr>
        <w:spacing w:after="0" w:line="276" w:lineRule="auto"/>
        <w:jc w:val="both"/>
        <w:rPr>
          <w:rFonts w:ascii="Arial" w:hAnsi="Arial" w:cs="Arial"/>
          <w:sz w:val="20"/>
          <w:szCs w:val="20"/>
        </w:rPr>
      </w:pPr>
    </w:p>
    <w:p w14:paraId="01462D60">
      <w:pPr>
        <w:spacing w:after="0" w:line="276" w:lineRule="auto"/>
        <w:jc w:val="both"/>
        <w:rPr>
          <w:rFonts w:ascii="Arial" w:hAnsi="Arial" w:cs="Arial"/>
          <w:sz w:val="20"/>
          <w:szCs w:val="20"/>
        </w:rPr>
      </w:pPr>
    </w:p>
    <w:p w14:paraId="5263B258">
      <w:pPr>
        <w:spacing w:after="0" w:line="276" w:lineRule="auto"/>
        <w:jc w:val="both"/>
        <w:rPr>
          <w:rFonts w:ascii="Arial" w:hAnsi="Arial" w:cs="Arial"/>
          <w:sz w:val="20"/>
          <w:szCs w:val="20"/>
        </w:rPr>
      </w:pPr>
      <w:r>
        <w:rPr>
          <w:rFonts w:ascii="Arial" w:hAnsi="Arial" w:cs="Arial"/>
          <w:sz w:val="20"/>
          <w:szCs w:val="20"/>
          <w:highlight w:val="darkGray"/>
        </w:rPr>
        <w:t xml:space="preserve">Quando o lote for composto </w:t>
      </w:r>
      <w:r>
        <w:rPr>
          <w:rFonts w:ascii="Arial" w:hAnsi="Arial" w:cs="Arial"/>
          <w:sz w:val="20"/>
          <w:szCs w:val="20"/>
          <w:highlight w:val="darkGray"/>
          <w:u w:val="single"/>
        </w:rPr>
        <w:t>por itens</w:t>
      </w:r>
      <w:r>
        <w:rPr>
          <w:rFonts w:ascii="Arial" w:hAnsi="Arial" w:cs="Arial"/>
          <w:sz w:val="20"/>
          <w:szCs w:val="20"/>
          <w:highlight w:val="darkGray"/>
        </w:rPr>
        <w:t>:</w:t>
      </w:r>
    </w:p>
    <w:p w14:paraId="6707B770">
      <w:pPr>
        <w:spacing w:after="0" w:line="276" w:lineRule="auto"/>
        <w:jc w:val="both"/>
        <w:rPr>
          <w:rFonts w:ascii="Arial" w:hAnsi="Arial" w:cs="Arial"/>
          <w:sz w:val="20"/>
          <w:szCs w:val="20"/>
        </w:rPr>
      </w:pPr>
    </w:p>
    <w:p w14:paraId="2C71ED47">
      <w:pPr>
        <w:spacing w:after="0" w:line="276" w:lineRule="auto"/>
        <w:jc w:val="both"/>
        <w:rPr>
          <w:rFonts w:ascii="Arial" w:hAnsi="Arial" w:cs="Arial"/>
          <w:sz w:val="20"/>
          <w:szCs w:val="20"/>
        </w:rPr>
      </w:pPr>
    </w:p>
    <w:tbl>
      <w:tblPr>
        <w:tblStyle w:val="3"/>
        <w:tblW w:w="9211" w:type="dxa"/>
        <w:tblInd w:w="-70" w:type="dxa"/>
        <w:tblLayout w:type="fixed"/>
        <w:tblCellMar>
          <w:top w:w="0" w:type="dxa"/>
          <w:left w:w="108" w:type="dxa"/>
          <w:bottom w:w="0" w:type="dxa"/>
          <w:right w:w="108" w:type="dxa"/>
        </w:tblCellMar>
      </w:tblPr>
      <w:tblGrid>
        <w:gridCol w:w="632"/>
        <w:gridCol w:w="1134"/>
        <w:gridCol w:w="2694"/>
        <w:gridCol w:w="1417"/>
        <w:gridCol w:w="709"/>
        <w:gridCol w:w="567"/>
        <w:gridCol w:w="992"/>
        <w:gridCol w:w="1066"/>
      </w:tblGrid>
      <w:tr w14:paraId="2324D6B5">
        <w:tblPrEx>
          <w:tblCellMar>
            <w:top w:w="0" w:type="dxa"/>
            <w:left w:w="108" w:type="dxa"/>
            <w:bottom w:w="0" w:type="dxa"/>
            <w:right w:w="108" w:type="dxa"/>
          </w:tblCellMar>
        </w:tblPrEx>
        <w:trPr>
          <w:trHeight w:val="739" w:hRule="atLeast"/>
        </w:trPr>
        <w:tc>
          <w:tcPr>
            <w:tcW w:w="9211" w:type="dxa"/>
            <w:gridSpan w:val="8"/>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14:paraId="15504A9C">
            <w:pPr>
              <w:spacing w:line="276" w:lineRule="auto"/>
              <w:rPr>
                <w:rFonts w:ascii="Arial" w:hAnsi="Arial" w:eastAsia="Arial" w:cs="Arial"/>
                <w:sz w:val="20"/>
                <w:szCs w:val="20"/>
              </w:rPr>
            </w:pPr>
            <w:r>
              <w:rPr>
                <w:rFonts w:ascii="Arial" w:hAnsi="Arial" w:eastAsia="Arial" w:cs="Arial"/>
                <w:sz w:val="20"/>
                <w:szCs w:val="20"/>
              </w:rPr>
              <w:t xml:space="preserve">LOTE </w:t>
            </w:r>
            <w:r>
              <w:rPr>
                <w:rFonts w:ascii="Arial" w:hAnsi="Arial" w:eastAsia="Arial" w:cs="Arial"/>
                <w:sz w:val="20"/>
                <w:szCs w:val="20"/>
                <w:highlight w:val="darkGray"/>
              </w:rPr>
              <w:t>ÚNICO</w:t>
            </w:r>
          </w:p>
        </w:tc>
      </w:tr>
      <w:tr w14:paraId="610BA379">
        <w:tblPrEx>
          <w:tblCellMar>
            <w:top w:w="0" w:type="dxa"/>
            <w:left w:w="108" w:type="dxa"/>
            <w:bottom w:w="0" w:type="dxa"/>
            <w:right w:w="108" w:type="dxa"/>
          </w:tblCellMar>
        </w:tblPrEx>
        <w:trPr>
          <w:trHeight w:val="874" w:hRule="atLeast"/>
        </w:trPr>
        <w:tc>
          <w:tcPr>
            <w:tcW w:w="632"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1EC56B77">
            <w:pPr>
              <w:spacing w:line="276" w:lineRule="auto"/>
              <w:rPr>
                <w:rFonts w:ascii="Arial" w:hAnsi="Arial" w:eastAsia="Arial" w:cs="Arial"/>
                <w:sz w:val="20"/>
                <w:szCs w:val="20"/>
              </w:rPr>
            </w:pPr>
            <w:r>
              <w:rPr>
                <w:rFonts w:ascii="Arial" w:hAnsi="Arial" w:eastAsia="Arial" w:cs="Arial"/>
                <w:sz w:val="20"/>
                <w:szCs w:val="20"/>
              </w:rPr>
              <w:t>Item</w:t>
            </w:r>
          </w:p>
          <w:p w14:paraId="24317157">
            <w:pPr>
              <w:spacing w:line="276" w:lineRule="auto"/>
              <w:rPr>
                <w:rFonts w:ascii="Arial" w:hAnsi="Arial" w:eastAsia="Arial" w:cs="Arial"/>
                <w:sz w:val="20"/>
                <w:szCs w:val="20"/>
              </w:rPr>
            </w:pPr>
          </w:p>
        </w:tc>
        <w:tc>
          <w:tcPr>
            <w:tcW w:w="1134"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3EEBE40B">
            <w:pPr>
              <w:spacing w:line="276" w:lineRule="auto"/>
              <w:rPr>
                <w:rFonts w:ascii="Arial" w:hAnsi="Arial" w:eastAsia="Arial" w:cs="Arial"/>
                <w:sz w:val="20"/>
                <w:szCs w:val="20"/>
              </w:rPr>
            </w:pPr>
            <w:r>
              <w:rPr>
                <w:rFonts w:ascii="Arial" w:hAnsi="Arial" w:eastAsia="Arial" w:cs="Arial"/>
                <w:sz w:val="20"/>
                <w:szCs w:val="20"/>
              </w:rPr>
              <w:t>Cód.GMS</w:t>
            </w:r>
          </w:p>
        </w:tc>
        <w:tc>
          <w:tcPr>
            <w:tcW w:w="2694"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29FB5163">
            <w:pPr>
              <w:spacing w:line="276" w:lineRule="auto"/>
              <w:jc w:val="both"/>
              <w:rPr>
                <w:rFonts w:ascii="Arial" w:hAnsi="Arial" w:eastAsia="Arial" w:cs="Arial"/>
                <w:sz w:val="20"/>
                <w:szCs w:val="20"/>
              </w:rPr>
            </w:pPr>
            <w:r>
              <w:rPr>
                <w:rFonts w:ascii="Arial" w:hAnsi="Arial" w:eastAsia="Arial" w:cs="Arial"/>
                <w:sz w:val="20"/>
                <w:szCs w:val="20"/>
              </w:rPr>
              <w:t>Cód. CAT/MAT Compras Gov</w:t>
            </w:r>
          </w:p>
        </w:tc>
        <w:tc>
          <w:tcPr>
            <w:tcW w:w="1417"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7CD88FE3">
            <w:pPr>
              <w:spacing w:line="276" w:lineRule="auto"/>
              <w:rPr>
                <w:rFonts w:ascii="Arial" w:hAnsi="Arial" w:eastAsia="Arial" w:cs="Arial"/>
                <w:sz w:val="20"/>
                <w:szCs w:val="20"/>
              </w:rPr>
            </w:pPr>
            <w:r>
              <w:rPr>
                <w:rFonts w:ascii="Arial" w:hAnsi="Arial" w:eastAsia="Arial" w:cs="Arial"/>
                <w:sz w:val="20"/>
                <w:szCs w:val="20"/>
              </w:rPr>
              <w:t>Especificação</w:t>
            </w:r>
          </w:p>
        </w:tc>
        <w:tc>
          <w:tcPr>
            <w:tcW w:w="709"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51C50061">
            <w:pPr>
              <w:spacing w:line="276" w:lineRule="auto"/>
              <w:rPr>
                <w:rFonts w:ascii="Arial" w:hAnsi="Arial" w:eastAsia="Arial" w:cs="Arial"/>
                <w:sz w:val="20"/>
                <w:szCs w:val="20"/>
              </w:rPr>
            </w:pPr>
            <w:r>
              <w:rPr>
                <w:rFonts w:ascii="Arial" w:hAnsi="Arial" w:eastAsia="Arial" w:cs="Arial"/>
                <w:sz w:val="20"/>
                <w:szCs w:val="20"/>
              </w:rPr>
              <w:t>Qtde</w:t>
            </w:r>
          </w:p>
        </w:tc>
        <w:tc>
          <w:tcPr>
            <w:tcW w:w="567"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19E595BF">
            <w:pPr>
              <w:spacing w:line="276" w:lineRule="auto"/>
              <w:rPr>
                <w:rFonts w:ascii="Arial" w:hAnsi="Arial" w:eastAsia="Arial" w:cs="Arial"/>
                <w:sz w:val="20"/>
                <w:szCs w:val="20"/>
              </w:rPr>
            </w:pPr>
            <w:r>
              <w:rPr>
                <w:rFonts w:ascii="Arial" w:hAnsi="Arial" w:eastAsia="Arial" w:cs="Arial"/>
                <w:sz w:val="20"/>
                <w:szCs w:val="20"/>
              </w:rPr>
              <w:t>Unid</w:t>
            </w:r>
          </w:p>
        </w:tc>
        <w:tc>
          <w:tcPr>
            <w:tcW w:w="992"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20392CDE">
            <w:pPr>
              <w:spacing w:line="276" w:lineRule="auto"/>
              <w:rPr>
                <w:rFonts w:ascii="Arial" w:hAnsi="Arial" w:eastAsia="Arial" w:cs="Arial"/>
                <w:sz w:val="20"/>
                <w:szCs w:val="20"/>
              </w:rPr>
            </w:pPr>
            <w:r>
              <w:rPr>
                <w:rFonts w:ascii="Arial" w:hAnsi="Arial" w:eastAsia="Arial" w:cs="Arial"/>
                <w:sz w:val="20"/>
                <w:szCs w:val="20"/>
              </w:rPr>
              <w:t>Vl.Máx Unit</w:t>
            </w:r>
          </w:p>
        </w:tc>
        <w:tc>
          <w:tcPr>
            <w:tcW w:w="106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5AA31F6B">
            <w:pPr>
              <w:spacing w:line="276" w:lineRule="auto"/>
              <w:rPr>
                <w:rFonts w:ascii="Arial" w:hAnsi="Arial" w:eastAsia="Arial" w:cs="Arial"/>
                <w:sz w:val="20"/>
                <w:szCs w:val="20"/>
              </w:rPr>
            </w:pPr>
            <w:r>
              <w:rPr>
                <w:rFonts w:ascii="Arial" w:hAnsi="Arial" w:eastAsia="Arial" w:cs="Arial"/>
                <w:sz w:val="20"/>
                <w:szCs w:val="20"/>
              </w:rPr>
              <w:t>Vl.Máx Total</w:t>
            </w:r>
          </w:p>
        </w:tc>
      </w:tr>
      <w:tr w14:paraId="343EB456">
        <w:tblPrEx>
          <w:tblCellMar>
            <w:top w:w="0" w:type="dxa"/>
            <w:left w:w="108" w:type="dxa"/>
            <w:bottom w:w="0" w:type="dxa"/>
            <w:right w:w="108" w:type="dxa"/>
          </w:tblCellMar>
        </w:tblPrEx>
        <w:tc>
          <w:tcPr>
            <w:tcW w:w="632"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201325AE">
            <w:pPr>
              <w:spacing w:line="276" w:lineRule="auto"/>
              <w:rPr>
                <w:rFonts w:ascii="Arial" w:hAnsi="Arial" w:eastAsia="Arial" w:cs="Arial"/>
                <w:sz w:val="20"/>
                <w:szCs w:val="20"/>
                <w:highlight w:val="darkGray"/>
              </w:rPr>
            </w:pPr>
            <w:r>
              <w:rPr>
                <w:rFonts w:ascii="Arial" w:hAnsi="Arial" w:eastAsia="Arial" w:cs="Arial"/>
                <w:sz w:val="20"/>
                <w:szCs w:val="20"/>
                <w:highlight w:val="darkGray"/>
              </w:rPr>
              <w:t>1</w:t>
            </w:r>
          </w:p>
          <w:p w14:paraId="431625BD">
            <w:pPr>
              <w:spacing w:line="276" w:lineRule="auto"/>
              <w:rPr>
                <w:rFonts w:ascii="Arial" w:hAnsi="Arial" w:eastAsia="Arial" w:cs="Arial"/>
                <w:sz w:val="20"/>
                <w:szCs w:val="20"/>
              </w:rPr>
            </w:pPr>
          </w:p>
        </w:tc>
        <w:tc>
          <w:tcPr>
            <w:tcW w:w="1134"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60C8DA45">
            <w:pPr>
              <w:spacing w:line="276" w:lineRule="auto"/>
              <w:rPr>
                <w:rFonts w:ascii="Arial" w:hAnsi="Arial" w:eastAsia="Arial" w:cs="Arial"/>
                <w:sz w:val="20"/>
                <w:szCs w:val="20"/>
              </w:rPr>
            </w:pPr>
          </w:p>
        </w:tc>
        <w:tc>
          <w:tcPr>
            <w:tcW w:w="2694"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41840EA1">
            <w:pPr>
              <w:spacing w:line="276" w:lineRule="auto"/>
              <w:rPr>
                <w:rFonts w:ascii="Arial" w:hAnsi="Arial" w:eastAsia="Arial" w:cs="Arial"/>
                <w:sz w:val="20"/>
                <w:szCs w:val="20"/>
              </w:rPr>
            </w:pPr>
          </w:p>
        </w:tc>
        <w:tc>
          <w:tcPr>
            <w:tcW w:w="1417"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52A5126E">
            <w:pPr>
              <w:spacing w:line="276" w:lineRule="auto"/>
              <w:rPr>
                <w:rFonts w:ascii="Arial" w:hAnsi="Arial" w:eastAsia="Arial" w:cs="Arial"/>
                <w:sz w:val="20"/>
                <w:szCs w:val="20"/>
              </w:rPr>
            </w:pPr>
          </w:p>
        </w:tc>
        <w:tc>
          <w:tcPr>
            <w:tcW w:w="709"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32B11CB7">
            <w:pPr>
              <w:spacing w:line="276" w:lineRule="auto"/>
              <w:rPr>
                <w:rFonts w:ascii="Arial" w:hAnsi="Arial" w:eastAsia="Arial" w:cs="Arial"/>
                <w:sz w:val="20"/>
                <w:szCs w:val="20"/>
              </w:rPr>
            </w:pPr>
          </w:p>
        </w:tc>
        <w:tc>
          <w:tcPr>
            <w:tcW w:w="567"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1D3B8423">
            <w:pPr>
              <w:spacing w:line="276" w:lineRule="auto"/>
              <w:rPr>
                <w:rFonts w:ascii="Arial" w:hAnsi="Arial" w:eastAsia="Arial" w:cs="Arial"/>
                <w:sz w:val="20"/>
                <w:szCs w:val="20"/>
              </w:rPr>
            </w:pPr>
          </w:p>
        </w:tc>
        <w:tc>
          <w:tcPr>
            <w:tcW w:w="992"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09355063">
            <w:pPr>
              <w:spacing w:line="276" w:lineRule="auto"/>
              <w:rPr>
                <w:rFonts w:ascii="Arial" w:hAnsi="Arial" w:eastAsia="Arial" w:cs="Arial"/>
                <w:sz w:val="20"/>
                <w:szCs w:val="20"/>
              </w:rPr>
            </w:pPr>
            <w:r>
              <w:rPr>
                <w:rFonts w:ascii="Arial" w:hAnsi="Arial" w:eastAsia="Arial" w:cs="Arial"/>
                <w:sz w:val="20"/>
                <w:szCs w:val="20"/>
                <w:highlight w:val="darkGray"/>
              </w:rPr>
              <w:t>R$</w:t>
            </w:r>
          </w:p>
        </w:tc>
        <w:tc>
          <w:tcPr>
            <w:tcW w:w="106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42D10D24">
            <w:pPr>
              <w:spacing w:line="276" w:lineRule="auto"/>
              <w:rPr>
                <w:rFonts w:ascii="Arial" w:hAnsi="Arial" w:eastAsia="Arial" w:cs="Arial"/>
                <w:sz w:val="20"/>
                <w:szCs w:val="20"/>
              </w:rPr>
            </w:pPr>
            <w:r>
              <w:rPr>
                <w:rFonts w:ascii="Arial" w:hAnsi="Arial" w:eastAsia="Arial" w:cs="Arial"/>
                <w:sz w:val="20"/>
                <w:szCs w:val="20"/>
                <w:highlight w:val="darkGray"/>
              </w:rPr>
              <w:t>R$</w:t>
            </w:r>
          </w:p>
        </w:tc>
      </w:tr>
      <w:tr w14:paraId="400537CA">
        <w:tblPrEx>
          <w:tblCellMar>
            <w:top w:w="0" w:type="dxa"/>
            <w:left w:w="108" w:type="dxa"/>
            <w:bottom w:w="0" w:type="dxa"/>
            <w:right w:w="108" w:type="dxa"/>
          </w:tblCellMar>
        </w:tblPrEx>
        <w:tc>
          <w:tcPr>
            <w:tcW w:w="632"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189E9082">
            <w:pPr>
              <w:spacing w:line="276" w:lineRule="auto"/>
              <w:rPr>
                <w:rFonts w:ascii="Arial" w:hAnsi="Arial" w:eastAsia="Arial" w:cs="Arial"/>
                <w:sz w:val="20"/>
                <w:szCs w:val="20"/>
                <w:highlight w:val="darkGray"/>
              </w:rPr>
            </w:pPr>
            <w:r>
              <w:rPr>
                <w:rFonts w:ascii="Arial" w:hAnsi="Arial" w:eastAsia="Arial" w:cs="Arial"/>
                <w:sz w:val="20"/>
                <w:szCs w:val="20"/>
                <w:highlight w:val="darkGray"/>
              </w:rPr>
              <w:t>2</w:t>
            </w:r>
          </w:p>
          <w:p w14:paraId="19118AD5">
            <w:pPr>
              <w:spacing w:line="276" w:lineRule="auto"/>
              <w:rPr>
                <w:rFonts w:ascii="Arial" w:hAnsi="Arial" w:eastAsia="Arial" w:cs="Arial"/>
                <w:sz w:val="20"/>
                <w:szCs w:val="20"/>
              </w:rPr>
            </w:pPr>
          </w:p>
        </w:tc>
        <w:tc>
          <w:tcPr>
            <w:tcW w:w="1134"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36069074">
            <w:pPr>
              <w:spacing w:line="276" w:lineRule="auto"/>
              <w:rPr>
                <w:rFonts w:ascii="Arial" w:hAnsi="Arial" w:eastAsia="Arial" w:cs="Arial"/>
                <w:sz w:val="20"/>
                <w:szCs w:val="20"/>
              </w:rPr>
            </w:pPr>
          </w:p>
        </w:tc>
        <w:tc>
          <w:tcPr>
            <w:tcW w:w="2694"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14B82A61">
            <w:pPr>
              <w:spacing w:line="276" w:lineRule="auto"/>
              <w:rPr>
                <w:rFonts w:ascii="Arial" w:hAnsi="Arial" w:eastAsia="Arial" w:cs="Arial"/>
                <w:sz w:val="20"/>
                <w:szCs w:val="20"/>
              </w:rPr>
            </w:pPr>
          </w:p>
        </w:tc>
        <w:tc>
          <w:tcPr>
            <w:tcW w:w="1417"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49F611A0">
            <w:pPr>
              <w:spacing w:line="276" w:lineRule="auto"/>
              <w:rPr>
                <w:rFonts w:ascii="Arial" w:hAnsi="Arial" w:eastAsia="Arial" w:cs="Arial"/>
                <w:sz w:val="20"/>
                <w:szCs w:val="20"/>
              </w:rPr>
            </w:pPr>
          </w:p>
        </w:tc>
        <w:tc>
          <w:tcPr>
            <w:tcW w:w="709"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710B0CEB">
            <w:pPr>
              <w:spacing w:line="276" w:lineRule="auto"/>
              <w:rPr>
                <w:rFonts w:ascii="Arial" w:hAnsi="Arial" w:eastAsia="Arial" w:cs="Arial"/>
                <w:sz w:val="20"/>
                <w:szCs w:val="20"/>
              </w:rPr>
            </w:pPr>
          </w:p>
        </w:tc>
        <w:tc>
          <w:tcPr>
            <w:tcW w:w="567"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469A8CCD">
            <w:pPr>
              <w:spacing w:line="276" w:lineRule="auto"/>
              <w:rPr>
                <w:rFonts w:ascii="Arial" w:hAnsi="Arial" w:eastAsia="Arial" w:cs="Arial"/>
                <w:sz w:val="20"/>
                <w:szCs w:val="20"/>
              </w:rPr>
            </w:pPr>
          </w:p>
        </w:tc>
        <w:tc>
          <w:tcPr>
            <w:tcW w:w="992"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57669BDA">
            <w:pPr>
              <w:spacing w:line="276" w:lineRule="auto"/>
              <w:rPr>
                <w:rFonts w:ascii="Arial" w:hAnsi="Arial" w:eastAsia="Arial" w:cs="Arial"/>
                <w:sz w:val="20"/>
                <w:szCs w:val="20"/>
              </w:rPr>
            </w:pPr>
            <w:r>
              <w:rPr>
                <w:rFonts w:ascii="Arial" w:hAnsi="Arial" w:eastAsia="Arial" w:cs="Arial"/>
                <w:sz w:val="20"/>
                <w:szCs w:val="20"/>
                <w:highlight w:val="darkGray"/>
              </w:rPr>
              <w:t>R$</w:t>
            </w:r>
          </w:p>
        </w:tc>
        <w:tc>
          <w:tcPr>
            <w:tcW w:w="106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2425431D">
            <w:pPr>
              <w:spacing w:line="276" w:lineRule="auto"/>
              <w:rPr>
                <w:rFonts w:ascii="Arial" w:hAnsi="Arial" w:eastAsia="Arial" w:cs="Arial"/>
                <w:sz w:val="20"/>
                <w:szCs w:val="20"/>
              </w:rPr>
            </w:pPr>
            <w:r>
              <w:rPr>
                <w:rFonts w:ascii="Arial" w:hAnsi="Arial" w:eastAsia="Arial" w:cs="Arial"/>
                <w:sz w:val="20"/>
                <w:szCs w:val="20"/>
                <w:highlight w:val="darkGray"/>
              </w:rPr>
              <w:t>R$</w:t>
            </w:r>
          </w:p>
        </w:tc>
      </w:tr>
      <w:tr w14:paraId="30CFD259">
        <w:tblPrEx>
          <w:tblCellMar>
            <w:top w:w="0" w:type="dxa"/>
            <w:left w:w="108" w:type="dxa"/>
            <w:bottom w:w="0" w:type="dxa"/>
            <w:right w:w="108" w:type="dxa"/>
          </w:tblCellMar>
        </w:tblPrEx>
        <w:trPr>
          <w:trHeight w:val="549" w:hRule="atLeast"/>
        </w:trPr>
        <w:tc>
          <w:tcPr>
            <w:tcW w:w="8145" w:type="dxa"/>
            <w:gridSpan w:val="7"/>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40A23264">
            <w:pPr>
              <w:spacing w:line="276" w:lineRule="auto"/>
              <w:rPr>
                <w:rFonts w:ascii="Arial" w:hAnsi="Arial" w:eastAsia="Arial" w:cs="Arial"/>
                <w:sz w:val="20"/>
                <w:szCs w:val="20"/>
              </w:rPr>
            </w:pPr>
            <w:r>
              <w:rPr>
                <w:rFonts w:ascii="Arial" w:hAnsi="Arial" w:eastAsia="Arial" w:cs="Arial"/>
                <w:sz w:val="20"/>
                <w:szCs w:val="20"/>
              </w:rPr>
              <w:t>Valor Máximo Global do Lote (CRITÉRIO DE ACEITABILIDADE DE PREÇOS)</w:t>
            </w:r>
          </w:p>
          <w:p w14:paraId="1FBD4AE9">
            <w:pPr>
              <w:spacing w:line="276" w:lineRule="auto"/>
              <w:rPr>
                <w:rFonts w:ascii="Arial" w:hAnsi="Arial" w:eastAsia="Arial" w:cs="Arial"/>
                <w:sz w:val="20"/>
                <w:szCs w:val="20"/>
              </w:rPr>
            </w:pPr>
          </w:p>
        </w:tc>
        <w:tc>
          <w:tcPr>
            <w:tcW w:w="106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tcPr>
          <w:p w14:paraId="58B76EA7">
            <w:pPr>
              <w:spacing w:line="276" w:lineRule="auto"/>
              <w:rPr>
                <w:rFonts w:ascii="Arial" w:hAnsi="Arial" w:eastAsia="Arial" w:cs="Arial"/>
                <w:sz w:val="20"/>
                <w:szCs w:val="20"/>
              </w:rPr>
            </w:pPr>
            <w:r>
              <w:rPr>
                <w:rFonts w:ascii="Arial" w:hAnsi="Arial" w:eastAsia="Arial" w:cs="Arial"/>
                <w:sz w:val="20"/>
                <w:szCs w:val="20"/>
                <w:highlight w:val="lightGray"/>
              </w:rPr>
              <w:t>R$</w:t>
            </w:r>
          </w:p>
        </w:tc>
      </w:tr>
    </w:tbl>
    <w:p w14:paraId="6A78F105">
      <w:pPr>
        <w:spacing w:after="0" w:line="276" w:lineRule="auto"/>
        <w:jc w:val="both"/>
        <w:rPr>
          <w:rFonts w:ascii="Arial" w:hAnsi="Arial" w:cs="Arial"/>
          <w:sz w:val="24"/>
          <w:szCs w:val="24"/>
        </w:rPr>
      </w:pPr>
    </w:p>
    <w:p w14:paraId="7C6773E8">
      <w:pPr>
        <w:spacing w:line="276" w:lineRule="auto"/>
        <w:jc w:val="both"/>
        <w:rPr>
          <w:rFonts w:ascii="Arial" w:hAnsi="Arial" w:cs="Arial"/>
          <w:sz w:val="24"/>
          <w:szCs w:val="24"/>
        </w:rPr>
      </w:pPr>
      <w:r>
        <w:rPr>
          <w:rFonts w:ascii="Arial" w:hAnsi="Arial" w:cs="Arial"/>
          <w:b/>
          <w:bCs/>
          <w:sz w:val="24"/>
          <w:szCs w:val="24"/>
          <w:highlight w:val="darkGray"/>
        </w:rPr>
        <w:t>1.1.</w:t>
      </w:r>
      <w:r>
        <w:rPr>
          <w:rFonts w:ascii="Arial" w:hAnsi="Arial" w:cs="Arial"/>
          <w:sz w:val="24"/>
          <w:szCs w:val="24"/>
        </w:rPr>
        <w:t xml:space="preserve"> Não será permitida a proposta parcial por item, quando este envolver mais de uma unidade a ser fornecida, pela natureza técnica do produto e levando em consideração que o objeto da contratação não é de grande vulto, visto que o referido procedimento não acarretaria em celeridade, economia e vantajosidade na contratação.</w:t>
      </w:r>
    </w:p>
    <w:p w14:paraId="42136123">
      <w:pPr>
        <w:spacing w:line="276" w:lineRule="auto"/>
        <w:jc w:val="both"/>
        <w:rPr>
          <w:rFonts w:ascii="Arial" w:hAnsi="Arial" w:cs="Arial"/>
          <w:sz w:val="24"/>
          <w:szCs w:val="24"/>
        </w:rPr>
      </w:pPr>
    </w:p>
    <w:p w14:paraId="2508699D">
      <w:pPr>
        <w:spacing w:line="276" w:lineRule="auto"/>
        <w:jc w:val="both"/>
        <w:rPr>
          <w:rFonts w:ascii="Arial" w:hAnsi="Arial" w:cs="Arial"/>
          <w:sz w:val="24"/>
          <w:szCs w:val="24"/>
        </w:rPr>
      </w:pPr>
    </w:p>
    <w:p w14:paraId="75883FDD">
      <w:pPr>
        <w:spacing w:after="0" w:line="276" w:lineRule="auto"/>
        <w:jc w:val="both"/>
        <w:rPr>
          <w:rFonts w:ascii="Arial" w:hAnsi="Arial" w:cs="Arial"/>
          <w:b/>
          <w:bCs/>
          <w:sz w:val="24"/>
          <w:szCs w:val="24"/>
        </w:rPr>
      </w:pPr>
      <w:r>
        <w:rPr>
          <w:rFonts w:ascii="Arial" w:hAnsi="Arial" w:cs="Arial"/>
          <w:b/>
          <w:bCs/>
          <w:sz w:val="24"/>
          <w:szCs w:val="24"/>
        </w:rPr>
        <w:t>1.2 ESPECIFICAÇÕES TÉCNICAS</w:t>
      </w:r>
    </w:p>
    <w:p w14:paraId="7698CBD5">
      <w:pPr>
        <w:spacing w:after="0" w:line="276" w:lineRule="auto"/>
        <w:jc w:val="both"/>
        <w:rPr>
          <w:rFonts w:ascii="Arial" w:hAnsi="Arial" w:cs="Arial"/>
          <w:sz w:val="24"/>
          <w:szCs w:val="24"/>
        </w:rPr>
      </w:pPr>
    </w:p>
    <w:p w14:paraId="4A563C63">
      <w:pPr>
        <w:spacing w:line="276" w:lineRule="auto"/>
        <w:jc w:val="both"/>
        <w:rPr>
          <w:rFonts w:ascii="Arial" w:hAnsi="Arial" w:cs="Arial"/>
          <w:sz w:val="24"/>
          <w:szCs w:val="24"/>
        </w:rPr>
      </w:pPr>
      <w:r>
        <w:rPr>
          <w:rFonts w:ascii="Arial" w:hAnsi="Arial" w:cs="Arial"/>
          <w:b/>
          <w:bCs/>
          <w:sz w:val="24"/>
          <w:szCs w:val="24"/>
        </w:rPr>
        <w:t>1.2.1</w:t>
      </w:r>
    </w:p>
    <w:p w14:paraId="23E807C9">
      <w:pPr>
        <w:spacing w:line="276" w:lineRule="auto"/>
        <w:jc w:val="both"/>
        <w:rPr>
          <w:rFonts w:ascii="Arial" w:hAnsi="Arial" w:cs="Arial"/>
          <w:sz w:val="24"/>
          <w:szCs w:val="24"/>
        </w:rPr>
      </w:pPr>
    </w:p>
    <w:p w14:paraId="25EAAED8">
      <w:pPr>
        <w:spacing w:line="276" w:lineRule="auto"/>
        <w:jc w:val="both"/>
        <w:rPr>
          <w:rFonts w:ascii="Arial" w:hAnsi="Arial" w:cs="Arial"/>
          <w:sz w:val="24"/>
          <w:szCs w:val="24"/>
        </w:rPr>
      </w:pPr>
    </w:p>
    <w:p w14:paraId="7F40F75B">
      <w:pPr>
        <w:spacing w:after="0" w:line="276" w:lineRule="auto"/>
        <w:jc w:val="both"/>
        <w:rPr>
          <w:rFonts w:ascii="Arial" w:hAnsi="Arial" w:cs="Arial"/>
          <w:b/>
          <w:bCs/>
          <w:sz w:val="24"/>
          <w:szCs w:val="24"/>
        </w:rPr>
      </w:pPr>
      <w:r>
        <w:rPr>
          <w:rFonts w:ascii="Arial" w:hAnsi="Arial" w:cs="Arial"/>
          <w:b/>
          <w:bCs/>
          <w:sz w:val="24"/>
          <w:szCs w:val="24"/>
        </w:rPr>
        <w:t>1.3 DA PADRONIZAÇÃO</w:t>
      </w:r>
    </w:p>
    <w:p w14:paraId="3A841EAA">
      <w:pPr>
        <w:spacing w:after="0" w:line="276" w:lineRule="auto"/>
        <w:jc w:val="both"/>
        <w:rPr>
          <w:rFonts w:ascii="Arial" w:hAnsi="Arial" w:cs="Arial"/>
          <w:sz w:val="24"/>
          <w:szCs w:val="24"/>
        </w:rPr>
      </w:pPr>
    </w:p>
    <w:p w14:paraId="6A0BC926">
      <w:pPr>
        <w:spacing w:after="0" w:line="276" w:lineRule="auto"/>
        <w:jc w:val="both"/>
        <w:rPr>
          <w:rFonts w:ascii="Arial" w:hAnsi="Arial" w:cs="Arial"/>
          <w:sz w:val="24"/>
          <w:szCs w:val="24"/>
        </w:rPr>
      </w:pPr>
    </w:p>
    <w:p w14:paraId="442EA1EE">
      <w:pPr>
        <w:spacing w:line="276" w:lineRule="auto"/>
        <w:jc w:val="both"/>
        <w:rPr>
          <w:rFonts w:ascii="Arial" w:hAnsi="Arial" w:cs="Arial"/>
          <w:sz w:val="24"/>
          <w:szCs w:val="24"/>
        </w:rPr>
      </w:pPr>
      <w:r>
        <w:rPr>
          <w:rFonts w:ascii="Arial" w:hAnsi="Arial" w:cs="Arial"/>
          <w:b/>
          <w:bCs/>
          <w:sz w:val="24"/>
          <w:szCs w:val="24"/>
        </w:rPr>
        <w:t>1.3.1</w:t>
      </w:r>
      <w:r>
        <w:rPr>
          <w:rFonts w:ascii="Arial" w:hAnsi="Arial" w:cs="Arial"/>
          <w:sz w:val="24"/>
          <w:szCs w:val="24"/>
        </w:rPr>
        <w:t xml:space="preserve"> Não há padronização para a contratação deste objeto.</w:t>
      </w:r>
    </w:p>
    <w:p w14:paraId="175BA443">
      <w:pPr>
        <w:spacing w:line="276" w:lineRule="auto"/>
        <w:jc w:val="both"/>
        <w:rPr>
          <w:rFonts w:ascii="Arial" w:hAnsi="Arial" w:cs="Arial"/>
          <w:b/>
          <w:bCs/>
          <w:sz w:val="24"/>
          <w:szCs w:val="24"/>
        </w:rPr>
      </w:pPr>
      <w:r>
        <w:rPr>
          <w:rFonts w:ascii="Arial" w:hAnsi="Arial" w:cs="Arial"/>
          <w:b/>
          <w:bCs/>
          <w:sz w:val="24"/>
          <w:szCs w:val="24"/>
          <w:highlight w:val="darkGray"/>
        </w:rPr>
        <w:t>OU</w:t>
      </w:r>
    </w:p>
    <w:p w14:paraId="2EEDC0E0">
      <w:pPr>
        <w:spacing w:line="276" w:lineRule="auto"/>
        <w:jc w:val="both"/>
        <w:rPr>
          <w:rFonts w:ascii="Arial" w:hAnsi="Arial" w:cs="Arial"/>
          <w:b/>
          <w:bCs/>
          <w:sz w:val="24"/>
          <w:szCs w:val="24"/>
        </w:rPr>
      </w:pPr>
      <w:r>
        <w:rPr>
          <w:rFonts w:ascii="Arial" w:hAnsi="Arial" w:cs="Arial"/>
          <w:b/>
          <w:bCs/>
          <w:sz w:val="24"/>
          <w:szCs w:val="24"/>
        </w:rPr>
        <w:t>1.3.1</w:t>
      </w:r>
    </w:p>
    <w:p w14:paraId="57A96057">
      <w:pPr>
        <w:spacing w:after="0" w:line="276" w:lineRule="auto"/>
        <w:jc w:val="both"/>
        <w:rPr>
          <w:rFonts w:ascii="Arial" w:hAnsi="Arial" w:cs="Arial"/>
          <w:sz w:val="24"/>
          <w:szCs w:val="24"/>
        </w:rPr>
      </w:pPr>
    </w:p>
    <w:p w14:paraId="3F4C1888">
      <w:pPr>
        <w:spacing w:after="0" w:line="276" w:lineRule="auto"/>
        <w:jc w:val="both"/>
        <w:rPr>
          <w:rFonts w:ascii="Arial" w:hAnsi="Arial" w:cs="Arial"/>
          <w:b/>
          <w:bCs/>
          <w:sz w:val="24"/>
          <w:szCs w:val="24"/>
        </w:rPr>
      </w:pPr>
      <w:r>
        <w:rPr>
          <w:rFonts w:ascii="Arial" w:hAnsi="Arial" w:cs="Arial"/>
          <w:b/>
          <w:bCs/>
          <w:sz w:val="24"/>
          <w:szCs w:val="24"/>
        </w:rPr>
        <w:t>1.4 DO FORNECIMENTO</w:t>
      </w:r>
    </w:p>
    <w:p w14:paraId="19AD64FE">
      <w:pPr>
        <w:spacing w:after="0" w:line="276" w:lineRule="auto"/>
        <w:jc w:val="both"/>
        <w:rPr>
          <w:rFonts w:ascii="Arial" w:hAnsi="Arial" w:cs="Arial"/>
          <w:sz w:val="24"/>
          <w:szCs w:val="24"/>
        </w:rPr>
      </w:pPr>
    </w:p>
    <w:p w14:paraId="394397AB">
      <w:pPr>
        <w:spacing w:line="276" w:lineRule="auto"/>
        <w:jc w:val="both"/>
        <w:rPr>
          <w:rFonts w:ascii="Arial" w:hAnsi="Arial" w:cs="Arial"/>
          <w:b/>
          <w:bCs/>
          <w:sz w:val="24"/>
          <w:szCs w:val="24"/>
        </w:rPr>
      </w:pPr>
      <w:r>
        <w:rPr>
          <w:rFonts w:ascii="Arial" w:hAnsi="Arial" w:cs="Arial"/>
          <w:b/>
          <w:bCs/>
          <w:sz w:val="24"/>
          <w:szCs w:val="24"/>
        </w:rPr>
        <w:t xml:space="preserve">1.4.1 </w:t>
      </w:r>
    </w:p>
    <w:p w14:paraId="6375D6BB">
      <w:pPr>
        <w:spacing w:line="276" w:lineRule="auto"/>
        <w:jc w:val="both"/>
        <w:rPr>
          <w:rFonts w:ascii="Arial" w:hAnsi="Arial" w:cs="Arial"/>
          <w:b/>
          <w:bCs/>
          <w:sz w:val="24"/>
          <w:szCs w:val="24"/>
        </w:rPr>
      </w:pPr>
    </w:p>
    <w:p w14:paraId="744E8E8F">
      <w:pPr>
        <w:spacing w:after="0" w:line="276" w:lineRule="auto"/>
        <w:jc w:val="both"/>
        <w:rPr>
          <w:rFonts w:ascii="Arial" w:hAnsi="Arial" w:cs="Arial"/>
          <w:b/>
          <w:bCs/>
          <w:sz w:val="24"/>
          <w:szCs w:val="24"/>
        </w:rPr>
      </w:pPr>
      <w:r>
        <w:rPr>
          <w:rFonts w:ascii="Arial" w:hAnsi="Arial" w:cs="Arial"/>
          <w:b/>
          <w:bCs/>
          <w:sz w:val="24"/>
          <w:szCs w:val="24"/>
        </w:rPr>
        <w:t>1.5 AMOSTRAS</w:t>
      </w:r>
    </w:p>
    <w:p w14:paraId="23E8FAA9">
      <w:pPr>
        <w:spacing w:after="0" w:line="276" w:lineRule="auto"/>
        <w:jc w:val="both"/>
        <w:rPr>
          <w:rFonts w:ascii="Arial" w:hAnsi="Arial" w:cs="Arial"/>
          <w:sz w:val="24"/>
          <w:szCs w:val="24"/>
        </w:rPr>
      </w:pPr>
    </w:p>
    <w:p w14:paraId="14311DAD">
      <w:pPr>
        <w:spacing w:line="276" w:lineRule="auto"/>
        <w:jc w:val="both"/>
        <w:rPr>
          <w:rFonts w:ascii="Arial" w:hAnsi="Arial" w:cs="Arial"/>
          <w:sz w:val="24"/>
          <w:szCs w:val="24"/>
        </w:rPr>
      </w:pPr>
      <w:r>
        <w:rPr>
          <w:rFonts w:ascii="Arial" w:hAnsi="Arial" w:cs="Arial"/>
          <w:b/>
          <w:bCs/>
          <w:sz w:val="24"/>
          <w:szCs w:val="24"/>
        </w:rPr>
        <w:t>1.5.1</w:t>
      </w:r>
      <w:r>
        <w:rPr>
          <w:rFonts w:ascii="Arial" w:hAnsi="Arial" w:cs="Arial"/>
          <w:sz w:val="24"/>
          <w:szCs w:val="24"/>
        </w:rPr>
        <w:t xml:space="preserve"> O primeiro licitante/fornecedor classificado, deverá entregar, no prazo máximo de </w:t>
      </w:r>
      <w:r>
        <w:rPr>
          <w:rFonts w:ascii="Arial" w:hAnsi="Arial" w:cs="Arial"/>
          <w:sz w:val="24"/>
          <w:szCs w:val="24"/>
          <w:highlight w:val="darkGray"/>
        </w:rPr>
        <w:t>XX (XXXX)</w:t>
      </w:r>
      <w:r>
        <w:rPr>
          <w:rFonts w:ascii="Arial" w:hAnsi="Arial" w:cs="Arial"/>
          <w:sz w:val="24"/>
          <w:szCs w:val="24"/>
        </w:rPr>
        <w:t xml:space="preserve"> dias úteis, a contar da notificação, o descritivo técnico e a respectiva amostra do objeto licitado, a fim de verificar se atende às especificações do edital e anexos, no seguinte local:</w:t>
      </w:r>
    </w:p>
    <w:p w14:paraId="18B9A826">
      <w:pPr>
        <w:spacing w:after="0" w:line="276" w:lineRule="auto"/>
        <w:jc w:val="both"/>
        <w:rPr>
          <w:rFonts w:ascii="Arial" w:hAnsi="Arial" w:cs="Arial"/>
          <w:sz w:val="24"/>
          <w:szCs w:val="24"/>
        </w:rPr>
      </w:pPr>
      <w:r>
        <w:rPr>
          <w:rFonts w:ascii="Arial" w:hAnsi="Arial" w:cs="Arial"/>
          <w:sz w:val="24"/>
          <w:szCs w:val="24"/>
        </w:rPr>
        <w:t xml:space="preserve">Local: </w:t>
      </w:r>
      <w:r>
        <w:rPr>
          <w:rFonts w:ascii="Arial" w:hAnsi="Arial" w:cs="Arial"/>
          <w:sz w:val="24"/>
          <w:szCs w:val="24"/>
          <w:highlight w:val="darkGray"/>
        </w:rPr>
        <w:t>XXXXXX</w:t>
      </w:r>
    </w:p>
    <w:p w14:paraId="1C616ECF">
      <w:pPr>
        <w:spacing w:after="0" w:line="276" w:lineRule="auto"/>
        <w:jc w:val="both"/>
        <w:rPr>
          <w:rFonts w:ascii="Arial" w:hAnsi="Arial" w:cs="Arial"/>
          <w:sz w:val="24"/>
          <w:szCs w:val="24"/>
        </w:rPr>
      </w:pPr>
      <w:r>
        <w:rPr>
          <w:rFonts w:ascii="Arial" w:hAnsi="Arial" w:cs="Arial"/>
          <w:sz w:val="24"/>
          <w:szCs w:val="24"/>
        </w:rPr>
        <w:t xml:space="preserve">Logradouro: </w:t>
      </w:r>
      <w:r>
        <w:rPr>
          <w:rFonts w:ascii="Arial" w:hAnsi="Arial" w:cs="Arial"/>
          <w:sz w:val="24"/>
          <w:szCs w:val="24"/>
          <w:highlight w:val="darkGray"/>
        </w:rPr>
        <w:t>XXXXX</w:t>
      </w:r>
    </w:p>
    <w:p w14:paraId="1F24B69D">
      <w:pPr>
        <w:spacing w:after="0" w:line="276" w:lineRule="auto"/>
        <w:jc w:val="both"/>
        <w:rPr>
          <w:rFonts w:ascii="Arial" w:hAnsi="Arial" w:cs="Arial"/>
          <w:sz w:val="24"/>
          <w:szCs w:val="24"/>
        </w:rPr>
      </w:pPr>
      <w:r>
        <w:rPr>
          <w:rFonts w:ascii="Arial" w:hAnsi="Arial" w:cs="Arial"/>
          <w:sz w:val="24"/>
          <w:szCs w:val="24"/>
        </w:rPr>
        <w:t xml:space="preserve">CEP. </w:t>
      </w:r>
      <w:r>
        <w:rPr>
          <w:rFonts w:ascii="Arial" w:hAnsi="Arial" w:cs="Arial"/>
          <w:sz w:val="24"/>
          <w:szCs w:val="24"/>
          <w:highlight w:val="darkGray"/>
        </w:rPr>
        <w:t>XXXXXXXX</w:t>
      </w:r>
      <w:r>
        <w:rPr>
          <w:rFonts w:ascii="Arial" w:hAnsi="Arial" w:cs="Arial"/>
          <w:sz w:val="24"/>
          <w:szCs w:val="24"/>
        </w:rPr>
        <w:t>, Cidade (</w:t>
      </w:r>
      <w:r>
        <w:rPr>
          <w:rFonts w:ascii="Arial" w:hAnsi="Arial" w:cs="Arial"/>
          <w:sz w:val="24"/>
          <w:szCs w:val="24"/>
          <w:highlight w:val="darkGray"/>
        </w:rPr>
        <w:t>XXXXX</w:t>
      </w:r>
      <w:r>
        <w:rPr>
          <w:rFonts w:ascii="Arial" w:hAnsi="Arial" w:cs="Arial"/>
          <w:sz w:val="24"/>
          <w:szCs w:val="24"/>
        </w:rPr>
        <w:t>)/PR</w:t>
      </w:r>
    </w:p>
    <w:p w14:paraId="6C36F12B">
      <w:pPr>
        <w:spacing w:after="0" w:line="276" w:lineRule="auto"/>
        <w:jc w:val="both"/>
        <w:rPr>
          <w:rFonts w:ascii="Arial" w:hAnsi="Arial" w:cs="Arial"/>
          <w:sz w:val="24"/>
          <w:szCs w:val="24"/>
        </w:rPr>
      </w:pPr>
      <w:r>
        <w:rPr>
          <w:rFonts w:ascii="Arial" w:hAnsi="Arial" w:cs="Arial"/>
          <w:sz w:val="24"/>
          <w:szCs w:val="24"/>
        </w:rPr>
        <w:t>A/C do Sr. XXXXX</w:t>
      </w:r>
    </w:p>
    <w:p w14:paraId="5A7AC45D">
      <w:pPr>
        <w:spacing w:after="0" w:line="276" w:lineRule="auto"/>
        <w:jc w:val="both"/>
        <w:rPr>
          <w:rFonts w:ascii="Arial" w:hAnsi="Arial" w:cs="Arial"/>
          <w:sz w:val="24"/>
          <w:szCs w:val="24"/>
        </w:rPr>
      </w:pPr>
      <w:r>
        <w:rPr>
          <w:rFonts w:ascii="Arial" w:hAnsi="Arial" w:cs="Arial"/>
          <w:sz w:val="24"/>
          <w:szCs w:val="24"/>
        </w:rPr>
        <w:t xml:space="preserve">Órgão/Entidade avaliador: </w:t>
      </w:r>
      <w:r>
        <w:rPr>
          <w:rFonts w:ascii="Arial" w:hAnsi="Arial" w:cs="Arial"/>
          <w:sz w:val="24"/>
          <w:szCs w:val="24"/>
          <w:highlight w:val="darkGray"/>
        </w:rPr>
        <w:t>XXXXXX</w:t>
      </w:r>
    </w:p>
    <w:p w14:paraId="5015D7B9">
      <w:pPr>
        <w:spacing w:after="0" w:line="276" w:lineRule="auto"/>
        <w:jc w:val="both"/>
        <w:rPr>
          <w:rFonts w:ascii="Arial" w:hAnsi="Arial" w:cs="Arial"/>
          <w:sz w:val="24"/>
          <w:szCs w:val="24"/>
        </w:rPr>
      </w:pPr>
      <w:r>
        <w:rPr>
          <w:rFonts w:ascii="Arial" w:hAnsi="Arial" w:cs="Arial"/>
          <w:sz w:val="24"/>
          <w:szCs w:val="24"/>
        </w:rPr>
        <w:t xml:space="preserve">Fone: </w:t>
      </w:r>
      <w:r>
        <w:rPr>
          <w:rFonts w:ascii="Arial" w:hAnsi="Arial" w:cs="Arial"/>
          <w:sz w:val="24"/>
          <w:szCs w:val="24"/>
          <w:highlight w:val="darkGray"/>
        </w:rPr>
        <w:t>(XX) XXXX</w:t>
      </w:r>
    </w:p>
    <w:p w14:paraId="2608426D">
      <w:pPr>
        <w:spacing w:after="0" w:line="276" w:lineRule="auto"/>
        <w:jc w:val="both"/>
        <w:rPr>
          <w:rFonts w:ascii="Arial" w:hAnsi="Arial" w:cs="Arial"/>
          <w:sz w:val="24"/>
          <w:szCs w:val="24"/>
        </w:rPr>
      </w:pPr>
      <w:r>
        <w:rPr>
          <w:rFonts w:ascii="Arial" w:hAnsi="Arial" w:cs="Arial"/>
          <w:sz w:val="24"/>
          <w:szCs w:val="24"/>
        </w:rPr>
        <w:t xml:space="preserve">E-mail: </w:t>
      </w:r>
      <w:r>
        <w:rPr>
          <w:rFonts w:ascii="Arial" w:hAnsi="Arial" w:cs="Arial"/>
          <w:sz w:val="24"/>
          <w:szCs w:val="24"/>
          <w:highlight w:val="darkGray"/>
        </w:rPr>
        <w:t>XXXXXX</w:t>
      </w:r>
    </w:p>
    <w:p w14:paraId="011826AF">
      <w:pPr>
        <w:spacing w:after="0" w:line="276" w:lineRule="auto"/>
        <w:jc w:val="both"/>
        <w:rPr>
          <w:rFonts w:ascii="Arial" w:hAnsi="Arial" w:cs="Arial"/>
          <w:sz w:val="24"/>
          <w:szCs w:val="24"/>
        </w:rPr>
      </w:pPr>
    </w:p>
    <w:p w14:paraId="3B90CDD3">
      <w:pPr>
        <w:spacing w:line="276" w:lineRule="auto"/>
        <w:jc w:val="both"/>
        <w:rPr>
          <w:rFonts w:ascii="Arial" w:hAnsi="Arial" w:cs="Arial"/>
          <w:sz w:val="24"/>
          <w:szCs w:val="24"/>
        </w:rPr>
      </w:pPr>
      <w:r>
        <w:rPr>
          <w:rFonts w:ascii="Arial" w:hAnsi="Arial" w:cs="Arial"/>
          <w:b/>
          <w:bCs/>
          <w:sz w:val="24"/>
          <w:szCs w:val="24"/>
        </w:rPr>
        <w:t>1.5.2</w:t>
      </w:r>
      <w:r>
        <w:rPr>
          <w:rFonts w:ascii="Arial" w:hAnsi="Arial" w:cs="Arial"/>
          <w:sz w:val="24"/>
          <w:szCs w:val="24"/>
        </w:rPr>
        <w:t xml:space="preserve"> Entende-se por entrega da amostra a data na qual ela é efetivamente entregue no endereço estabelecido no item 1.5.1.</w:t>
      </w:r>
    </w:p>
    <w:p w14:paraId="20820081">
      <w:pPr>
        <w:spacing w:line="276" w:lineRule="auto"/>
        <w:jc w:val="both"/>
        <w:rPr>
          <w:rFonts w:ascii="Arial" w:hAnsi="Arial" w:cs="Arial"/>
          <w:sz w:val="24"/>
          <w:szCs w:val="24"/>
        </w:rPr>
      </w:pPr>
      <w:r>
        <w:rPr>
          <w:rFonts w:ascii="Arial" w:hAnsi="Arial" w:cs="Arial"/>
          <w:b/>
          <w:bCs/>
          <w:sz w:val="24"/>
          <w:szCs w:val="24"/>
        </w:rPr>
        <w:t>1.5.3</w:t>
      </w:r>
      <w:r>
        <w:rPr>
          <w:rFonts w:ascii="Arial" w:hAnsi="Arial" w:cs="Arial"/>
          <w:sz w:val="24"/>
          <w:szCs w:val="24"/>
        </w:rPr>
        <w:t xml:space="preserve"> Para o exame da amostra, o órgão/entidade avaliador poderá, a seu critério, solicitar análise técnica.</w:t>
      </w:r>
    </w:p>
    <w:p w14:paraId="5CD5CCCA">
      <w:pPr>
        <w:spacing w:line="276" w:lineRule="auto"/>
        <w:jc w:val="both"/>
        <w:rPr>
          <w:rFonts w:ascii="Arial" w:hAnsi="Arial" w:cs="Arial"/>
          <w:sz w:val="24"/>
          <w:szCs w:val="24"/>
        </w:rPr>
      </w:pPr>
      <w:r>
        <w:rPr>
          <w:rFonts w:ascii="Arial" w:hAnsi="Arial" w:cs="Arial"/>
          <w:b/>
          <w:bCs/>
          <w:sz w:val="24"/>
          <w:szCs w:val="24"/>
        </w:rPr>
        <w:t>1.5.4</w:t>
      </w:r>
      <w:r>
        <w:rPr>
          <w:rFonts w:ascii="Arial" w:hAnsi="Arial" w:cs="Arial"/>
          <w:sz w:val="24"/>
          <w:szCs w:val="24"/>
        </w:rPr>
        <w:t xml:space="preserve"> Compete ao órgão/entidade, no prazo de </w:t>
      </w:r>
      <w:r>
        <w:rPr>
          <w:rFonts w:ascii="Arial" w:hAnsi="Arial" w:cs="Arial"/>
          <w:sz w:val="24"/>
          <w:szCs w:val="24"/>
          <w:highlight w:val="darkGray"/>
        </w:rPr>
        <w:t>XXX (XXX)</w:t>
      </w:r>
      <w:r>
        <w:rPr>
          <w:rFonts w:ascii="Arial" w:hAnsi="Arial" w:cs="Arial"/>
          <w:sz w:val="24"/>
          <w:szCs w:val="24"/>
        </w:rPr>
        <w:t xml:space="preserve"> dias úteis, examinar a(s) amostra(s) apresentada(s) e emitir o Termo de Aceite, podendo o prazo ser prorrogado de forma devidamente justificada.</w:t>
      </w:r>
    </w:p>
    <w:p w14:paraId="3E03486B">
      <w:pPr>
        <w:spacing w:line="276" w:lineRule="auto"/>
        <w:jc w:val="both"/>
        <w:rPr>
          <w:rFonts w:ascii="Arial" w:hAnsi="Arial" w:cs="Arial"/>
          <w:sz w:val="24"/>
          <w:szCs w:val="24"/>
        </w:rPr>
      </w:pPr>
      <w:r>
        <w:rPr>
          <w:rFonts w:ascii="Arial" w:hAnsi="Arial" w:cs="Arial"/>
          <w:b/>
          <w:bCs/>
          <w:sz w:val="24"/>
          <w:szCs w:val="24"/>
        </w:rPr>
        <w:t>1.5.5</w:t>
      </w:r>
      <w:r>
        <w:rPr>
          <w:rFonts w:ascii="Arial" w:hAnsi="Arial" w:cs="Arial"/>
          <w:sz w:val="24"/>
          <w:szCs w:val="24"/>
        </w:rPr>
        <w:t xml:space="preserve"> Os licitantes/fornecedores interessados poderão ter vista da(s) amostra(s) apresentada(s), bem como informações sobre datas, horários, locais, e dos procedimentos para exame da(s) amostra(s), devendo, para tanto, entrar em contato com órgão/entidade avaliador.</w:t>
      </w:r>
    </w:p>
    <w:p w14:paraId="7C7A5094">
      <w:pPr>
        <w:spacing w:line="276" w:lineRule="auto"/>
        <w:jc w:val="both"/>
        <w:rPr>
          <w:rFonts w:ascii="Arial" w:hAnsi="Arial" w:cs="Arial"/>
          <w:sz w:val="24"/>
          <w:szCs w:val="24"/>
        </w:rPr>
      </w:pPr>
      <w:r>
        <w:rPr>
          <w:rFonts w:ascii="Arial" w:hAnsi="Arial" w:cs="Arial"/>
          <w:b/>
          <w:bCs/>
          <w:sz w:val="24"/>
          <w:szCs w:val="24"/>
        </w:rPr>
        <w:t>1.5.6</w:t>
      </w:r>
      <w:r>
        <w:rPr>
          <w:rFonts w:ascii="Arial" w:hAnsi="Arial" w:cs="Arial"/>
          <w:sz w:val="24"/>
          <w:szCs w:val="24"/>
        </w:rPr>
        <w:t xml:space="preserve"> O critério de exame das amostras se restringe à verificação da conformidade do bem ofertado, confrontado com as exigências técnicas expressas por parâmetros e padrão de desempenho constante no descritivo do Termo de Referência (Anexo I) e às informações técnicas prestadas pelo arrematante.</w:t>
      </w:r>
    </w:p>
    <w:p w14:paraId="1497F05D">
      <w:pPr>
        <w:spacing w:line="276" w:lineRule="auto"/>
        <w:jc w:val="both"/>
        <w:rPr>
          <w:rFonts w:ascii="Arial" w:hAnsi="Arial" w:cs="Arial"/>
          <w:sz w:val="24"/>
          <w:szCs w:val="24"/>
        </w:rPr>
      </w:pPr>
      <w:r>
        <w:rPr>
          <w:rFonts w:ascii="Arial" w:hAnsi="Arial" w:cs="Arial"/>
          <w:b/>
          <w:bCs/>
          <w:sz w:val="24"/>
          <w:szCs w:val="24"/>
        </w:rPr>
        <w:t>1.5.7</w:t>
      </w:r>
      <w:r>
        <w:rPr>
          <w:rFonts w:ascii="Arial" w:hAnsi="Arial" w:cs="Arial"/>
          <w:sz w:val="24"/>
          <w:szCs w:val="24"/>
        </w:rPr>
        <w:t xml:space="preserve"> Quando o licitante/fornecedor indicar a marca, o modelo e as especificações técnicas do objeto no campo “Informações Adicionais” do sistema eletrônico de compras adotado pela Administração Pública Estadual, as amostras apresentadas devem ter as mesmas identificações daquelas preliminarmente estabelecidas pelo licitante/fornecedor e que foram informadas no sistema, salvo se o produto apresentado tenha, mediante ratificação da Administração, características técnicas superiores.</w:t>
      </w:r>
    </w:p>
    <w:p w14:paraId="53E906F8">
      <w:pPr>
        <w:spacing w:line="276" w:lineRule="auto"/>
        <w:jc w:val="both"/>
        <w:rPr>
          <w:rFonts w:ascii="Arial" w:hAnsi="Arial" w:cs="Arial"/>
          <w:sz w:val="24"/>
          <w:szCs w:val="24"/>
        </w:rPr>
      </w:pPr>
      <w:r>
        <w:rPr>
          <w:rFonts w:ascii="Arial" w:hAnsi="Arial" w:cs="Arial"/>
          <w:b/>
          <w:bCs/>
          <w:sz w:val="24"/>
          <w:szCs w:val="24"/>
        </w:rPr>
        <w:t>1.5.7.1</w:t>
      </w:r>
      <w:r>
        <w:rPr>
          <w:rFonts w:ascii="Arial" w:hAnsi="Arial" w:cs="Arial"/>
          <w:sz w:val="24"/>
          <w:szCs w:val="24"/>
        </w:rPr>
        <w:t xml:space="preserve"> Caso a compatibilidade com as especificações demandadas, sobretudo quanto a padrões de qualidade e desempenho, não possa ser aferida pelos meios previstos nos subitens acima, o(a) Pregoeiro(a) exigirá que o licitante/fornecedor classificado em primeiro lugar apresente amostra, sob pena de não aceitação da proposta, no local a ser indicado e dentro de </w:t>
      </w:r>
      <w:r>
        <w:rPr>
          <w:rFonts w:ascii="Arial" w:hAnsi="Arial" w:cs="Arial"/>
          <w:sz w:val="24"/>
          <w:szCs w:val="24"/>
          <w:highlight w:val="darkGray"/>
        </w:rPr>
        <w:t>XX (XXXX)</w:t>
      </w:r>
      <w:r>
        <w:rPr>
          <w:rFonts w:ascii="Arial" w:hAnsi="Arial" w:cs="Arial"/>
          <w:sz w:val="24"/>
          <w:szCs w:val="24"/>
        </w:rPr>
        <w:t xml:space="preserve"> dias úteis contados da solicitação.</w:t>
      </w:r>
    </w:p>
    <w:p w14:paraId="76FEA4BA">
      <w:pPr>
        <w:spacing w:line="276" w:lineRule="auto"/>
        <w:jc w:val="both"/>
        <w:rPr>
          <w:rFonts w:ascii="Arial" w:hAnsi="Arial" w:cs="Arial"/>
          <w:sz w:val="24"/>
          <w:szCs w:val="24"/>
        </w:rPr>
      </w:pPr>
      <w:r>
        <w:rPr>
          <w:rFonts w:ascii="Arial" w:hAnsi="Arial" w:cs="Arial"/>
          <w:b/>
          <w:bCs/>
          <w:sz w:val="24"/>
          <w:szCs w:val="24"/>
        </w:rPr>
        <w:t>1.5.8</w:t>
      </w:r>
      <w:r>
        <w:rPr>
          <w:rFonts w:ascii="Arial" w:hAnsi="Arial" w:cs="Arial"/>
          <w:sz w:val="24"/>
          <w:szCs w:val="24"/>
        </w:rPr>
        <w:t xml:space="preserve"> No caso de o licitante/fornecedor vencedor de qualquer dos lotes tiver suas amostras reprovadas ou tenham sido entregues fora das especificações previstas neste Edital, sua proposta será desclassificada, sendo o licitante/fornecedor classificado a seguir imediatamente chamado para substituir o desclassificado e assim sucessivamente, até que as amostras apresentadas sejam aceitas pela Administração, na forma do item 6.6.3.4 das Condições Gerais do Pregão Eletrônico.</w:t>
      </w:r>
    </w:p>
    <w:p w14:paraId="50BD9168">
      <w:pPr>
        <w:spacing w:line="276" w:lineRule="auto"/>
        <w:jc w:val="both"/>
        <w:rPr>
          <w:rFonts w:ascii="Arial" w:hAnsi="Arial" w:cs="Arial"/>
          <w:sz w:val="24"/>
          <w:szCs w:val="24"/>
        </w:rPr>
      </w:pPr>
      <w:r>
        <w:rPr>
          <w:rFonts w:ascii="Arial" w:hAnsi="Arial" w:cs="Arial"/>
          <w:b/>
          <w:bCs/>
          <w:sz w:val="24"/>
          <w:szCs w:val="24"/>
        </w:rPr>
        <w:t>1.5.9</w:t>
      </w:r>
      <w:r>
        <w:rPr>
          <w:rFonts w:ascii="Arial" w:hAnsi="Arial" w:cs="Arial"/>
          <w:sz w:val="24"/>
          <w:szCs w:val="24"/>
        </w:rPr>
        <w:t xml:space="preserve"> O licitante/fornecedor que não apresentar amostras no prazo previsto no item 1.5.1 também terá sua proposta automaticamente desclassificada.</w:t>
      </w:r>
    </w:p>
    <w:p w14:paraId="018EE057">
      <w:pPr>
        <w:spacing w:line="276" w:lineRule="auto"/>
        <w:jc w:val="both"/>
        <w:rPr>
          <w:rFonts w:ascii="Arial" w:hAnsi="Arial" w:cs="Arial"/>
          <w:sz w:val="24"/>
          <w:szCs w:val="24"/>
        </w:rPr>
      </w:pPr>
      <w:r>
        <w:rPr>
          <w:rFonts w:ascii="Arial" w:hAnsi="Arial" w:cs="Arial"/>
          <w:b/>
          <w:bCs/>
          <w:sz w:val="24"/>
          <w:szCs w:val="24"/>
        </w:rPr>
        <w:t>1.5.10</w:t>
      </w:r>
      <w:r>
        <w:rPr>
          <w:rFonts w:ascii="Arial" w:hAnsi="Arial" w:cs="Arial"/>
          <w:sz w:val="24"/>
          <w:szCs w:val="24"/>
        </w:rPr>
        <w:t xml:space="preserve"> O licitante/fornecedor declarado vencedor deverá realizar as entregas do objeto da licitação somente de acordo com a(s) amostra(s) apresentada(s) e aprovada(s).</w:t>
      </w:r>
    </w:p>
    <w:p w14:paraId="2A1985A6">
      <w:pPr>
        <w:spacing w:line="276" w:lineRule="auto"/>
        <w:jc w:val="both"/>
        <w:rPr>
          <w:rFonts w:ascii="Arial" w:hAnsi="Arial" w:cs="Arial"/>
          <w:sz w:val="24"/>
          <w:szCs w:val="24"/>
        </w:rPr>
      </w:pPr>
      <w:r>
        <w:rPr>
          <w:rFonts w:ascii="Arial" w:hAnsi="Arial" w:cs="Arial"/>
          <w:b/>
          <w:bCs/>
          <w:sz w:val="24"/>
          <w:szCs w:val="24"/>
        </w:rPr>
        <w:t>1.5.11</w:t>
      </w:r>
      <w:r>
        <w:rPr>
          <w:rFonts w:ascii="Arial" w:hAnsi="Arial" w:cs="Arial"/>
          <w:sz w:val="24"/>
          <w:szCs w:val="24"/>
        </w:rPr>
        <w:t xml:space="preserve"> As amostras serão fornecidas sem custo, no local indicado neste Edital, e aquelas que forem submetidas a testes, que impliquem na sua destruição ou inutilização, não serão devolvidas e/ou descontadas das quantidades a serem entregues.</w:t>
      </w:r>
    </w:p>
    <w:p w14:paraId="2B40B1AD">
      <w:pPr>
        <w:spacing w:line="276" w:lineRule="auto"/>
        <w:jc w:val="both"/>
        <w:rPr>
          <w:rFonts w:ascii="Arial" w:hAnsi="Arial" w:cs="Arial"/>
          <w:sz w:val="24"/>
          <w:szCs w:val="24"/>
        </w:rPr>
      </w:pPr>
      <w:r>
        <w:rPr>
          <w:rFonts w:ascii="Arial" w:hAnsi="Arial" w:cs="Arial"/>
          <w:b/>
          <w:bCs/>
          <w:sz w:val="24"/>
          <w:szCs w:val="24"/>
        </w:rPr>
        <w:t>1.5.12</w:t>
      </w:r>
      <w:r>
        <w:rPr>
          <w:rFonts w:ascii="Arial" w:hAnsi="Arial" w:cs="Arial"/>
          <w:sz w:val="24"/>
          <w:szCs w:val="24"/>
        </w:rPr>
        <w:t xml:space="preserve"> O prazo limite para retirada de amostras não utilizadas ou não aprovadas será de 90 (noventa) dias, contados da data da homologação do certame.</w:t>
      </w:r>
    </w:p>
    <w:p w14:paraId="20BFC385">
      <w:pPr>
        <w:spacing w:line="276" w:lineRule="auto"/>
        <w:jc w:val="both"/>
        <w:rPr>
          <w:rFonts w:ascii="Arial" w:hAnsi="Arial" w:cs="Arial"/>
          <w:sz w:val="24"/>
          <w:szCs w:val="24"/>
        </w:rPr>
      </w:pPr>
      <w:r>
        <w:rPr>
          <w:rFonts w:ascii="Arial" w:hAnsi="Arial" w:cs="Arial"/>
          <w:b/>
          <w:bCs/>
          <w:sz w:val="24"/>
          <w:szCs w:val="24"/>
        </w:rPr>
        <w:t>1.5.13</w:t>
      </w:r>
      <w:r>
        <w:rPr>
          <w:rFonts w:ascii="Arial" w:hAnsi="Arial" w:cs="Arial"/>
          <w:sz w:val="24"/>
          <w:szCs w:val="24"/>
        </w:rPr>
        <w:t xml:space="preserve"> As amostras não aprovadas e não retiradas no prazo do item anterior poderão ser descartadas pelo órgão avaliador.</w:t>
      </w:r>
    </w:p>
    <w:p w14:paraId="4AB60BEB">
      <w:pPr>
        <w:spacing w:line="276" w:lineRule="auto"/>
        <w:jc w:val="both"/>
        <w:rPr>
          <w:rFonts w:ascii="Arial" w:hAnsi="Arial" w:cs="Arial"/>
          <w:sz w:val="24"/>
          <w:szCs w:val="24"/>
        </w:rPr>
      </w:pPr>
      <w:r>
        <w:rPr>
          <w:rFonts w:ascii="Arial" w:hAnsi="Arial" w:cs="Arial"/>
          <w:b/>
          <w:bCs/>
          <w:sz w:val="24"/>
          <w:szCs w:val="24"/>
        </w:rPr>
        <w:t>1.5.14</w:t>
      </w:r>
      <w:r>
        <w:rPr>
          <w:rFonts w:ascii="Arial" w:hAnsi="Arial" w:cs="Arial"/>
          <w:sz w:val="24"/>
          <w:szCs w:val="24"/>
        </w:rPr>
        <w:t xml:space="preserve"> As amostras aprovadas permanecerão sob a custódia do órgão avaliador para fins de aferição da regularidade do objeto quando da entrega, podendo ser descontados os itens da amostra do total a entregar, excetuada a hipótese prevista no item 1.5.11. Não ocorrendo o desconto, fica estabelecido o prazo máximo de 90 (noventa) dias para retirada das amostras, sendo que aquelas que não forem retiradas no prazo mencionado poderão ser descartadas pelo órgão avaliador.</w:t>
      </w:r>
    </w:p>
    <w:p w14:paraId="119C1544">
      <w:pPr>
        <w:spacing w:line="276" w:lineRule="auto"/>
        <w:jc w:val="both"/>
        <w:rPr>
          <w:rFonts w:ascii="Arial" w:hAnsi="Arial" w:cs="Arial"/>
          <w:sz w:val="24"/>
          <w:szCs w:val="24"/>
        </w:rPr>
      </w:pPr>
      <w:r>
        <w:rPr>
          <w:rFonts w:ascii="Arial" w:hAnsi="Arial" w:cs="Arial"/>
          <w:b/>
          <w:bCs/>
          <w:sz w:val="24"/>
          <w:szCs w:val="24"/>
        </w:rPr>
        <w:t>1.5.15</w:t>
      </w:r>
      <w:r>
        <w:rPr>
          <w:rFonts w:ascii="Arial" w:hAnsi="Arial" w:cs="Arial"/>
          <w:sz w:val="24"/>
          <w:szCs w:val="24"/>
        </w:rPr>
        <w:t xml:space="preserve"> A apresentação e aceite das amostras e dos materiais não isenta nem diminui a responsabilidade do fornecedor nem a garantia dos produtos ofertados.</w:t>
      </w:r>
    </w:p>
    <w:p w14:paraId="4A31BF7D">
      <w:pPr>
        <w:spacing w:line="276" w:lineRule="auto"/>
        <w:jc w:val="both"/>
        <w:rPr>
          <w:rFonts w:ascii="Arial" w:hAnsi="Arial" w:cs="Arial"/>
          <w:sz w:val="24"/>
          <w:szCs w:val="24"/>
        </w:rPr>
      </w:pPr>
      <w:r>
        <w:rPr>
          <w:rFonts w:ascii="Arial" w:hAnsi="Arial" w:cs="Arial"/>
          <w:b/>
          <w:bCs/>
          <w:sz w:val="24"/>
          <w:szCs w:val="24"/>
        </w:rPr>
        <w:t>1.5.16</w:t>
      </w:r>
      <w:r>
        <w:rPr>
          <w:rFonts w:ascii="Arial" w:hAnsi="Arial" w:cs="Arial"/>
          <w:sz w:val="24"/>
          <w:szCs w:val="24"/>
        </w:rPr>
        <w:t xml:space="preserve"> O licitante/fornecedor é responsável por quaisquer ônus decorrentes de marcas, registros e patentes do objeto proposto.</w:t>
      </w:r>
    </w:p>
    <w:p w14:paraId="3BC475F9">
      <w:pPr>
        <w:spacing w:after="0" w:line="276" w:lineRule="auto"/>
        <w:jc w:val="both"/>
        <w:rPr>
          <w:rFonts w:ascii="Arial" w:hAnsi="Arial" w:cs="Arial"/>
          <w:sz w:val="24"/>
          <w:szCs w:val="24"/>
        </w:rPr>
      </w:pPr>
    </w:p>
    <w:p w14:paraId="1256E188">
      <w:pPr>
        <w:spacing w:after="0" w:line="276" w:lineRule="auto"/>
        <w:jc w:val="both"/>
        <w:rPr>
          <w:rFonts w:ascii="Arial" w:hAnsi="Arial" w:cs="Arial"/>
          <w:b/>
          <w:bCs/>
          <w:sz w:val="24"/>
          <w:szCs w:val="24"/>
        </w:rPr>
      </w:pPr>
      <w:r>
        <w:rPr>
          <w:rFonts w:ascii="Arial" w:hAnsi="Arial" w:cs="Arial"/>
          <w:b/>
          <w:bCs/>
          <w:sz w:val="24"/>
          <w:szCs w:val="24"/>
          <w:highlight w:val="darkGray"/>
        </w:rPr>
        <w:t>OU</w:t>
      </w:r>
    </w:p>
    <w:p w14:paraId="5AC887EA">
      <w:pPr>
        <w:spacing w:after="0" w:line="276" w:lineRule="auto"/>
        <w:jc w:val="both"/>
        <w:rPr>
          <w:rFonts w:ascii="Arial" w:hAnsi="Arial" w:cs="Arial"/>
          <w:sz w:val="24"/>
          <w:szCs w:val="24"/>
        </w:rPr>
      </w:pPr>
    </w:p>
    <w:p w14:paraId="1DF73D52">
      <w:pPr>
        <w:spacing w:line="276" w:lineRule="auto"/>
        <w:jc w:val="both"/>
        <w:rPr>
          <w:rFonts w:ascii="Arial" w:hAnsi="Arial" w:cs="Arial"/>
          <w:sz w:val="24"/>
          <w:szCs w:val="24"/>
        </w:rPr>
      </w:pPr>
      <w:r>
        <w:rPr>
          <w:rFonts w:ascii="Arial" w:hAnsi="Arial" w:cs="Arial"/>
          <w:b/>
          <w:bCs/>
          <w:sz w:val="24"/>
          <w:szCs w:val="24"/>
          <w:highlight w:val="darkGray"/>
        </w:rPr>
        <w:t>1.5.1</w:t>
      </w:r>
      <w:r>
        <w:rPr>
          <w:rFonts w:ascii="Arial" w:hAnsi="Arial" w:cs="Arial"/>
          <w:sz w:val="24"/>
          <w:szCs w:val="24"/>
        </w:rPr>
        <w:t xml:space="preserve"> Não há necessidade de apresentação de amostra.</w:t>
      </w:r>
    </w:p>
    <w:p w14:paraId="75755C10">
      <w:pPr>
        <w:spacing w:line="276" w:lineRule="auto"/>
        <w:jc w:val="both"/>
        <w:rPr>
          <w:rFonts w:ascii="Arial" w:hAnsi="Arial" w:cs="Arial"/>
          <w:sz w:val="24"/>
          <w:szCs w:val="24"/>
        </w:rPr>
      </w:pPr>
    </w:p>
    <w:p w14:paraId="412D622D">
      <w:pPr>
        <w:spacing w:after="0" w:line="276" w:lineRule="auto"/>
        <w:jc w:val="both"/>
        <w:rPr>
          <w:rFonts w:ascii="Arial" w:hAnsi="Arial" w:cs="Arial"/>
          <w:b/>
          <w:bCs/>
          <w:sz w:val="24"/>
          <w:szCs w:val="24"/>
        </w:rPr>
      </w:pPr>
      <w:r>
        <w:rPr>
          <w:rFonts w:ascii="Arial" w:hAnsi="Arial" w:cs="Arial"/>
          <w:b/>
          <w:bCs/>
          <w:sz w:val="24"/>
          <w:szCs w:val="24"/>
        </w:rPr>
        <w:t>2. DA JUSTIFICATIVA E DO OBJETIVO DA CONTRATAÇÃO</w:t>
      </w:r>
    </w:p>
    <w:p w14:paraId="436DF6C7">
      <w:pPr>
        <w:spacing w:after="0" w:line="276" w:lineRule="auto"/>
        <w:jc w:val="both"/>
        <w:rPr>
          <w:rFonts w:ascii="Arial" w:hAnsi="Arial" w:cs="Arial"/>
          <w:sz w:val="24"/>
          <w:szCs w:val="24"/>
        </w:rPr>
      </w:pPr>
    </w:p>
    <w:p w14:paraId="2B8A2F2D">
      <w:pPr>
        <w:spacing w:line="276" w:lineRule="auto"/>
        <w:jc w:val="both"/>
        <w:rPr>
          <w:rFonts w:ascii="Arial" w:hAnsi="Arial" w:cs="Arial"/>
          <w:b/>
          <w:bCs/>
          <w:sz w:val="24"/>
          <w:szCs w:val="24"/>
        </w:rPr>
      </w:pPr>
      <w:r>
        <w:rPr>
          <w:rFonts w:ascii="Arial" w:hAnsi="Arial" w:cs="Arial"/>
          <w:b/>
          <w:bCs/>
          <w:sz w:val="24"/>
          <w:szCs w:val="24"/>
        </w:rPr>
        <w:t xml:space="preserve">2.1 </w:t>
      </w:r>
    </w:p>
    <w:p w14:paraId="32FC3510">
      <w:pPr>
        <w:spacing w:line="276" w:lineRule="auto"/>
        <w:jc w:val="both"/>
        <w:rPr>
          <w:rFonts w:ascii="Arial" w:hAnsi="Arial" w:cs="Arial"/>
          <w:sz w:val="24"/>
          <w:szCs w:val="24"/>
        </w:rPr>
      </w:pPr>
    </w:p>
    <w:p w14:paraId="2F452618">
      <w:pPr>
        <w:spacing w:after="0" w:line="276" w:lineRule="auto"/>
        <w:jc w:val="both"/>
        <w:rPr>
          <w:rFonts w:ascii="Arial" w:hAnsi="Arial" w:cs="Arial"/>
          <w:b/>
          <w:bCs/>
          <w:sz w:val="24"/>
          <w:szCs w:val="24"/>
        </w:rPr>
      </w:pPr>
      <w:r>
        <w:rPr>
          <w:rFonts w:ascii="Arial" w:hAnsi="Arial" w:cs="Arial"/>
          <w:b/>
          <w:bCs/>
          <w:sz w:val="24"/>
          <w:szCs w:val="24"/>
        </w:rPr>
        <w:t>3. DESCRIÇÃO DA SOLUÇÃO:</w:t>
      </w:r>
    </w:p>
    <w:p w14:paraId="6715C63E">
      <w:pPr>
        <w:spacing w:after="0" w:line="276" w:lineRule="auto"/>
        <w:jc w:val="both"/>
        <w:rPr>
          <w:rFonts w:ascii="Arial" w:hAnsi="Arial" w:cs="Arial"/>
          <w:sz w:val="24"/>
          <w:szCs w:val="24"/>
        </w:rPr>
      </w:pPr>
    </w:p>
    <w:p w14:paraId="5C40460F">
      <w:pPr>
        <w:spacing w:line="276" w:lineRule="auto"/>
        <w:jc w:val="both"/>
        <w:rPr>
          <w:rFonts w:ascii="Arial" w:hAnsi="Arial" w:cs="Arial"/>
          <w:b/>
          <w:bCs/>
          <w:sz w:val="24"/>
          <w:szCs w:val="24"/>
        </w:rPr>
      </w:pPr>
      <w:r>
        <w:rPr>
          <w:rFonts w:ascii="Arial" w:hAnsi="Arial" w:cs="Arial"/>
          <w:b/>
          <w:bCs/>
          <w:sz w:val="24"/>
          <w:szCs w:val="24"/>
        </w:rPr>
        <w:t xml:space="preserve">3.1 </w:t>
      </w:r>
    </w:p>
    <w:p w14:paraId="46F37575">
      <w:pPr>
        <w:spacing w:line="276" w:lineRule="auto"/>
        <w:jc w:val="both"/>
        <w:rPr>
          <w:rFonts w:ascii="Arial" w:hAnsi="Arial" w:cs="Arial"/>
          <w:sz w:val="24"/>
          <w:szCs w:val="24"/>
        </w:rPr>
      </w:pPr>
    </w:p>
    <w:p w14:paraId="78786226">
      <w:pPr>
        <w:spacing w:line="276" w:lineRule="auto"/>
        <w:jc w:val="both"/>
        <w:rPr>
          <w:rFonts w:ascii="Arial" w:hAnsi="Arial" w:cs="Arial"/>
          <w:sz w:val="24"/>
          <w:szCs w:val="24"/>
        </w:rPr>
      </w:pPr>
    </w:p>
    <w:p w14:paraId="1CBAED20">
      <w:pPr>
        <w:spacing w:after="0" w:line="276" w:lineRule="auto"/>
        <w:jc w:val="both"/>
        <w:rPr>
          <w:rFonts w:ascii="Arial" w:hAnsi="Arial" w:cs="Arial"/>
          <w:b/>
          <w:bCs/>
          <w:sz w:val="24"/>
          <w:szCs w:val="24"/>
        </w:rPr>
      </w:pPr>
      <w:r>
        <w:rPr>
          <w:rFonts w:ascii="Arial" w:hAnsi="Arial" w:cs="Arial"/>
          <w:b/>
          <w:bCs/>
          <w:sz w:val="24"/>
          <w:szCs w:val="24"/>
        </w:rPr>
        <w:t>4. PESQUISA DE PREÇOS</w:t>
      </w:r>
    </w:p>
    <w:p w14:paraId="538F28C5">
      <w:pPr>
        <w:spacing w:after="0" w:line="276" w:lineRule="auto"/>
        <w:jc w:val="both"/>
        <w:rPr>
          <w:rFonts w:ascii="Arial" w:hAnsi="Arial" w:cs="Arial"/>
          <w:b/>
          <w:bCs/>
          <w:sz w:val="24"/>
          <w:szCs w:val="24"/>
        </w:rPr>
      </w:pPr>
    </w:p>
    <w:p w14:paraId="3349D055">
      <w:pPr>
        <w:pStyle w:val="11"/>
        <w:pBdr>
          <w:top w:val="none" w:color="000000" w:sz="0" w:space="0"/>
          <w:left w:val="none" w:color="000000" w:sz="0" w:space="0"/>
          <w:bottom w:val="none" w:color="000000" w:sz="0" w:space="31"/>
          <w:right w:val="none" w:color="000000" w:sz="0" w:space="0"/>
          <w:between w:val="none" w:color="auto" w:sz="0" w:space="0"/>
        </w:pBdr>
        <w:tabs>
          <w:tab w:val="left" w:pos="2123"/>
        </w:tabs>
        <w:spacing w:after="120" w:line="240" w:lineRule="auto"/>
        <w:jc w:val="both"/>
        <w:rPr>
          <w:b/>
          <w:color w:val="000000"/>
          <w:sz w:val="24"/>
          <w:szCs w:val="24"/>
        </w:rPr>
      </w:pPr>
      <w:r>
        <w:rPr>
          <w:b/>
          <w:color w:val="000000"/>
          <w:sz w:val="24"/>
          <w:szCs w:val="24"/>
        </w:rPr>
        <w:t xml:space="preserve">4.1 </w:t>
      </w:r>
      <w:r>
        <w:rPr>
          <w:color w:val="000000"/>
          <w:sz w:val="24"/>
          <w:szCs w:val="24"/>
        </w:rPr>
        <w:t>Para formação dos preços máximos foi realizada ampla pesquisa de preços, em conformidade com o disposto no artigo 368, do Decreto Estadual n. 10.086/2022 sendo realizadas cotações por meio do sistema de Banco de Preços em atendimento aos incisos I, II, III, IV e V do art 5°, conforme relatório anexo ao processo.</w:t>
      </w:r>
    </w:p>
    <w:p w14:paraId="314ABA43">
      <w:pPr>
        <w:pStyle w:val="11"/>
        <w:pBdr>
          <w:top w:val="none" w:color="000000" w:sz="0" w:space="0"/>
          <w:left w:val="none" w:color="000000" w:sz="0" w:space="0"/>
          <w:bottom w:val="none" w:color="000000" w:sz="0" w:space="31"/>
          <w:right w:val="none" w:color="000000" w:sz="0" w:space="0"/>
          <w:between w:val="none" w:color="auto" w:sz="0" w:space="0"/>
        </w:pBdr>
        <w:tabs>
          <w:tab w:val="left" w:pos="2123"/>
        </w:tabs>
        <w:spacing w:after="120" w:line="240" w:lineRule="auto"/>
        <w:jc w:val="both"/>
        <w:rPr>
          <w:b/>
          <w:color w:val="000000"/>
          <w:sz w:val="24"/>
          <w:szCs w:val="24"/>
        </w:rPr>
      </w:pPr>
      <w:r>
        <w:rPr>
          <w:b/>
          <w:color w:val="000000"/>
          <w:sz w:val="24"/>
          <w:szCs w:val="24"/>
          <w:highlight w:val="lightGray"/>
        </w:rPr>
        <w:t>OU</w:t>
      </w:r>
    </w:p>
    <w:p w14:paraId="0A50A107">
      <w:pPr>
        <w:pStyle w:val="11"/>
        <w:pBdr>
          <w:top w:val="none" w:color="000000" w:sz="0" w:space="0"/>
          <w:left w:val="none" w:color="000000" w:sz="0" w:space="0"/>
          <w:bottom w:val="none" w:color="000000" w:sz="0" w:space="31"/>
          <w:right w:val="none" w:color="000000" w:sz="0" w:space="0"/>
          <w:between w:val="none" w:color="auto" w:sz="0" w:space="0"/>
        </w:pBdr>
        <w:tabs>
          <w:tab w:val="left" w:pos="2123"/>
        </w:tabs>
        <w:spacing w:after="120" w:line="240" w:lineRule="auto"/>
        <w:jc w:val="both"/>
        <w:rPr>
          <w:sz w:val="24"/>
          <w:szCs w:val="24"/>
        </w:rPr>
      </w:pPr>
      <w:r>
        <w:rPr>
          <w:b/>
          <w:sz w:val="24"/>
          <w:szCs w:val="24"/>
        </w:rPr>
        <w:t>4.1</w:t>
      </w:r>
      <w:r>
        <w:rPr>
          <w:sz w:val="24"/>
          <w:szCs w:val="24"/>
        </w:rPr>
        <w:t xml:space="preserve"> Para formação dos preços máximos foi realizada ampla pesquisa de preços, em conformidade com o disposto no artigo 368, do Decreto Estadual n. 10.086/2022 sendo realizadas pesquisas através do portal </w:t>
      </w:r>
      <w:r>
        <w:rPr>
          <w:sz w:val="24"/>
          <w:szCs w:val="24"/>
          <w:highlight w:val="lightGray"/>
        </w:rPr>
        <w:t>Banco de Preços</w:t>
      </w:r>
      <w:r>
        <w:rPr>
          <w:sz w:val="24"/>
          <w:szCs w:val="24"/>
        </w:rPr>
        <w:t xml:space="preserve">, cotações em fornecedores especializados e no </w:t>
      </w:r>
      <w:r>
        <w:rPr>
          <w:sz w:val="24"/>
          <w:szCs w:val="24"/>
          <w:highlight w:val="lightGray"/>
        </w:rPr>
        <w:t>........(citar os órgãos governamentais pesquisados, ex: Portal do GMS, Programa Nota Paraná e TCE/PR, etc.).</w:t>
      </w:r>
    </w:p>
    <w:p w14:paraId="65254835">
      <w:pPr>
        <w:pStyle w:val="11"/>
        <w:pBdr>
          <w:top w:val="none" w:color="000000" w:sz="0" w:space="0"/>
          <w:left w:val="none" w:color="000000" w:sz="0" w:space="0"/>
          <w:bottom w:val="none" w:color="000000" w:sz="0" w:space="13"/>
          <w:right w:val="none" w:color="000000" w:sz="0" w:space="0"/>
          <w:between w:val="none" w:color="auto" w:sz="0" w:space="0"/>
        </w:pBdr>
        <w:tabs>
          <w:tab w:val="left" w:pos="2123"/>
        </w:tabs>
        <w:spacing w:after="120" w:line="240" w:lineRule="auto"/>
        <w:jc w:val="both"/>
        <w:rPr>
          <w:sz w:val="24"/>
          <w:szCs w:val="24"/>
        </w:rPr>
      </w:pPr>
      <w:r>
        <w:rPr>
          <w:b/>
          <w:sz w:val="24"/>
          <w:szCs w:val="24"/>
        </w:rPr>
        <w:t>4.2</w:t>
      </w:r>
      <w:r>
        <w:rPr>
          <w:sz w:val="24"/>
          <w:szCs w:val="24"/>
        </w:rPr>
        <w:t xml:space="preserve"> O critério de formação de preços foi da MÉDIA DE PREÇOS dos preços orçados, nos termos do §3º do artigo 368, do Decreto Estadual nº 10.086/2022, sendo utilizado este critério a fim de assegurar maior competitividade, qualidade e economicidade, minimizando a ocorrência de licitação fracassada ou deserta, sem deixar de buscar o menor custo para administração. </w:t>
      </w:r>
    </w:p>
    <w:p w14:paraId="5CFFE360">
      <w:pPr>
        <w:pStyle w:val="11"/>
        <w:pBdr>
          <w:top w:val="none" w:color="000000" w:sz="0" w:space="0"/>
          <w:left w:val="none" w:color="000000" w:sz="0" w:space="0"/>
          <w:bottom w:val="none" w:color="000000" w:sz="0" w:space="13"/>
          <w:right w:val="none" w:color="000000" w:sz="0" w:space="0"/>
          <w:between w:val="none" w:color="auto" w:sz="0" w:space="0"/>
        </w:pBdr>
        <w:tabs>
          <w:tab w:val="left" w:pos="2123"/>
        </w:tabs>
        <w:spacing w:after="120" w:line="240" w:lineRule="auto"/>
        <w:jc w:val="both"/>
        <w:rPr>
          <w:b/>
          <w:sz w:val="24"/>
          <w:szCs w:val="24"/>
          <w:highlight w:val="lightGray"/>
        </w:rPr>
      </w:pPr>
      <w:r>
        <w:rPr>
          <w:b/>
          <w:sz w:val="24"/>
          <w:szCs w:val="24"/>
          <w:highlight w:val="lightGray"/>
        </w:rPr>
        <w:t>OU</w:t>
      </w:r>
    </w:p>
    <w:p w14:paraId="3DC74D79">
      <w:pPr>
        <w:pStyle w:val="11"/>
        <w:pBdr>
          <w:bottom w:val="none" w:color="000000" w:sz="0" w:space="13"/>
          <w:between w:val="none" w:color="auto" w:sz="0" w:space="0"/>
        </w:pBdr>
        <w:spacing w:line="240" w:lineRule="auto"/>
        <w:jc w:val="both"/>
        <w:rPr>
          <w:sz w:val="24"/>
          <w:szCs w:val="24"/>
        </w:rPr>
      </w:pPr>
      <w:r>
        <w:rPr>
          <w:b/>
          <w:sz w:val="24"/>
          <w:szCs w:val="24"/>
        </w:rPr>
        <w:t xml:space="preserve">4.2 </w:t>
      </w:r>
      <w:r>
        <w:rPr>
          <w:sz w:val="24"/>
          <w:szCs w:val="24"/>
        </w:rPr>
        <w:t xml:space="preserve">O critério de formação de preços foi da MEDIANA dos preços orçados, nos termos do §3º do artigo 368, do Decreto Estadual nº 10.086/2022, sendo utilizado este critério uma vez que constitui medida de tendência central e, dessa forma, representa de forma robusta os preços praticados no mercado, minimizando a ocorrência de licitação fracassada ou deserta, sem deixar de buscar o menor custo para administração. </w:t>
      </w:r>
    </w:p>
    <w:p w14:paraId="14AE5336">
      <w:pPr>
        <w:pStyle w:val="11"/>
        <w:pBdr>
          <w:top w:val="none" w:color="000000" w:sz="0" w:space="0"/>
          <w:left w:val="none" w:color="000000" w:sz="0" w:space="0"/>
          <w:bottom w:val="none" w:color="000000" w:sz="0" w:space="13"/>
          <w:right w:val="none" w:color="000000" w:sz="0" w:space="0"/>
          <w:between w:val="none" w:color="auto" w:sz="0" w:space="0"/>
        </w:pBdr>
        <w:tabs>
          <w:tab w:val="left" w:pos="2123"/>
        </w:tabs>
        <w:spacing w:after="120" w:line="240" w:lineRule="auto"/>
        <w:jc w:val="both"/>
        <w:rPr>
          <w:b/>
          <w:sz w:val="24"/>
          <w:szCs w:val="24"/>
        </w:rPr>
      </w:pPr>
      <w:r>
        <w:rPr>
          <w:b/>
          <w:sz w:val="24"/>
          <w:szCs w:val="24"/>
          <w:highlight w:val="lightGray"/>
        </w:rPr>
        <w:t>OU</w:t>
      </w:r>
    </w:p>
    <w:p w14:paraId="48AEBD55">
      <w:pPr>
        <w:pStyle w:val="11"/>
        <w:pBdr>
          <w:top w:val="none" w:color="000000" w:sz="0" w:space="0"/>
          <w:left w:val="none" w:color="000000" w:sz="0" w:space="0"/>
          <w:bottom w:val="none" w:color="000000" w:sz="0" w:space="13"/>
          <w:right w:val="none" w:color="000000" w:sz="0" w:space="0"/>
          <w:between w:val="none" w:color="auto" w:sz="0" w:space="0"/>
        </w:pBdr>
        <w:tabs>
          <w:tab w:val="left" w:pos="2123"/>
        </w:tabs>
        <w:spacing w:after="120" w:line="240" w:lineRule="auto"/>
        <w:jc w:val="both"/>
        <w:rPr>
          <w:sz w:val="24"/>
          <w:szCs w:val="24"/>
        </w:rPr>
      </w:pPr>
      <w:r>
        <w:rPr>
          <w:b/>
          <w:sz w:val="24"/>
          <w:szCs w:val="24"/>
        </w:rPr>
        <w:t>4.2</w:t>
      </w:r>
      <w:r>
        <w:rPr>
          <w:sz w:val="24"/>
          <w:szCs w:val="24"/>
        </w:rPr>
        <w:t xml:space="preserve"> O critério de formação de preços foi o de MENOR PREÇO dos preços orçados, nos termos do §3º, do artigo 368, do Decreto Estadual nº 10.086/2022, sendo utilizado este critério, pois se fosse utilizado o critério da média de preços, o valor ultrapassaria o valor máximo permitido pelo Convênio.</w:t>
      </w:r>
    </w:p>
    <w:p w14:paraId="305B1877">
      <w:pPr>
        <w:spacing w:line="276" w:lineRule="auto"/>
        <w:jc w:val="both"/>
        <w:rPr>
          <w:rFonts w:ascii="Arial" w:hAnsi="Arial" w:cs="Arial"/>
          <w:b/>
          <w:bCs/>
          <w:sz w:val="24"/>
          <w:szCs w:val="24"/>
        </w:rPr>
      </w:pPr>
      <w:r>
        <w:rPr>
          <w:rFonts w:ascii="Arial" w:hAnsi="Arial" w:cs="Arial"/>
          <w:b/>
          <w:bCs/>
          <w:sz w:val="24"/>
          <w:szCs w:val="24"/>
          <w:highlight w:val="darkGray"/>
        </w:rPr>
        <w:t>INCLUIR TABELA DE PRECIFICAÇÃO SE FOR O CASO (VERIFICAR PRIENTAÇÕES PARA PREENCHIMENTO)</w:t>
      </w:r>
    </w:p>
    <w:p w14:paraId="2BCB7E36">
      <w:pPr>
        <w:spacing w:line="276" w:lineRule="auto"/>
        <w:jc w:val="both"/>
        <w:rPr>
          <w:rFonts w:ascii="Arial" w:hAnsi="Arial" w:cs="Arial"/>
          <w:sz w:val="24"/>
          <w:szCs w:val="24"/>
        </w:rPr>
      </w:pPr>
    </w:p>
    <w:p w14:paraId="1EE9A537">
      <w:pPr>
        <w:spacing w:line="276" w:lineRule="auto"/>
        <w:jc w:val="both"/>
        <w:rPr>
          <w:rFonts w:ascii="Arial" w:hAnsi="Arial" w:cs="Arial"/>
          <w:sz w:val="24"/>
          <w:szCs w:val="24"/>
        </w:rPr>
      </w:pPr>
    </w:p>
    <w:p w14:paraId="0A7D3CB6">
      <w:pPr>
        <w:spacing w:after="0" w:line="276" w:lineRule="auto"/>
        <w:jc w:val="both"/>
        <w:rPr>
          <w:rFonts w:ascii="Arial" w:hAnsi="Arial" w:cs="Arial"/>
          <w:b/>
          <w:bCs/>
          <w:sz w:val="24"/>
          <w:szCs w:val="24"/>
        </w:rPr>
      </w:pPr>
      <w:r>
        <w:rPr>
          <w:rFonts w:ascii="Arial" w:hAnsi="Arial" w:cs="Arial"/>
          <w:b/>
          <w:bCs/>
          <w:sz w:val="24"/>
          <w:szCs w:val="24"/>
        </w:rPr>
        <w:t>5. PARCELAMENTO DO OBJETO</w:t>
      </w:r>
    </w:p>
    <w:p w14:paraId="4961FA52">
      <w:pPr>
        <w:spacing w:after="0" w:line="276" w:lineRule="auto"/>
        <w:jc w:val="both"/>
        <w:rPr>
          <w:rFonts w:ascii="Arial" w:hAnsi="Arial" w:cs="Arial"/>
          <w:sz w:val="24"/>
          <w:szCs w:val="24"/>
        </w:rPr>
      </w:pPr>
    </w:p>
    <w:p w14:paraId="2952FAB4">
      <w:pPr>
        <w:pStyle w:val="13"/>
        <w:tabs>
          <w:tab w:val="left" w:pos="1139"/>
          <w:tab w:val="left" w:pos="30000"/>
        </w:tabs>
        <w:jc w:val="both"/>
      </w:pPr>
      <w:r>
        <w:rPr>
          <w:b/>
          <w:highlight w:val="lightGray"/>
        </w:rPr>
        <w:t>5.1</w:t>
      </w:r>
      <w:r>
        <w:rPr>
          <w:b/>
        </w:rPr>
        <w:t xml:space="preserve"> </w:t>
      </w:r>
      <w:r>
        <w:t>A presente contratação será realizada por item, a fim de ampliar a competitividade entre os fornecedores e possibilitar a obtenção de preços mais vantajosos para a Administração.</w:t>
      </w:r>
    </w:p>
    <w:p w14:paraId="751A663F">
      <w:pPr>
        <w:pStyle w:val="13"/>
        <w:tabs>
          <w:tab w:val="left" w:pos="1139"/>
          <w:tab w:val="left" w:pos="30000"/>
        </w:tabs>
        <w:jc w:val="both"/>
        <w:rPr>
          <w:color w:val="FF0000"/>
          <w:highlight w:val="lightGray"/>
        </w:rPr>
      </w:pPr>
    </w:p>
    <w:p w14:paraId="03C31720">
      <w:pPr>
        <w:pStyle w:val="12"/>
        <w:pBdr>
          <w:top w:val="none" w:color="000000" w:sz="0" w:space="0"/>
          <w:left w:val="none" w:color="000000" w:sz="0" w:space="0"/>
          <w:bottom w:val="none" w:color="000000" w:sz="0" w:space="31"/>
          <w:right w:val="none" w:color="000000" w:sz="0" w:space="0"/>
          <w:between w:val="none" w:color="auto" w:sz="0" w:space="0"/>
        </w:pBdr>
        <w:tabs>
          <w:tab w:val="left" w:pos="2123"/>
        </w:tabs>
        <w:spacing w:line="240" w:lineRule="auto"/>
        <w:jc w:val="both"/>
        <w:rPr>
          <w:b/>
          <w:sz w:val="24"/>
          <w:szCs w:val="24"/>
          <w:highlight w:val="lightGray"/>
        </w:rPr>
      </w:pPr>
      <w:r>
        <w:rPr>
          <w:b/>
          <w:sz w:val="24"/>
          <w:szCs w:val="24"/>
          <w:highlight w:val="lightGray"/>
        </w:rPr>
        <w:t xml:space="preserve"> OU</w:t>
      </w:r>
    </w:p>
    <w:p w14:paraId="02B1F99A">
      <w:pPr>
        <w:pStyle w:val="12"/>
        <w:pBdr>
          <w:top w:val="none" w:color="000000" w:sz="0" w:space="0"/>
          <w:left w:val="none" w:color="000000" w:sz="0" w:space="0"/>
          <w:bottom w:val="none" w:color="000000" w:sz="0" w:space="31"/>
          <w:right w:val="none" w:color="000000" w:sz="0" w:space="0"/>
          <w:between w:val="none" w:color="auto" w:sz="0" w:space="0"/>
        </w:pBdr>
        <w:tabs>
          <w:tab w:val="left" w:pos="2123"/>
        </w:tabs>
        <w:spacing w:line="240" w:lineRule="auto"/>
        <w:jc w:val="both"/>
        <w:rPr>
          <w:b/>
          <w:sz w:val="24"/>
          <w:szCs w:val="24"/>
          <w:highlight w:val="lightGray"/>
        </w:rPr>
      </w:pPr>
    </w:p>
    <w:p w14:paraId="75BB1BA4">
      <w:pPr>
        <w:pStyle w:val="12"/>
        <w:pBdr>
          <w:top w:val="none" w:color="000000" w:sz="0" w:space="0"/>
          <w:left w:val="none" w:color="000000" w:sz="0" w:space="0"/>
          <w:bottom w:val="none" w:color="000000" w:sz="0" w:space="31"/>
          <w:right w:val="none" w:color="000000" w:sz="0" w:space="0"/>
          <w:between w:val="none" w:color="auto" w:sz="0" w:space="0"/>
        </w:pBdr>
        <w:tabs>
          <w:tab w:val="left" w:pos="2123"/>
        </w:tabs>
        <w:spacing w:line="240" w:lineRule="auto"/>
        <w:jc w:val="both"/>
        <w:rPr>
          <w:b/>
          <w:sz w:val="24"/>
          <w:szCs w:val="24"/>
          <w:highlight w:val="lightGray"/>
        </w:rPr>
      </w:pPr>
      <w:r>
        <w:rPr>
          <w:b/>
          <w:sz w:val="24"/>
          <w:szCs w:val="24"/>
          <w:highlight w:val="lightGray"/>
        </w:rPr>
        <w:t>5.1</w:t>
      </w:r>
      <w:r>
        <w:rPr>
          <w:sz w:val="24"/>
          <w:szCs w:val="24"/>
          <w:highlight w:val="lightGray"/>
        </w:rPr>
        <w:t xml:space="preserve"> – Descrever</w:t>
      </w:r>
    </w:p>
    <w:p w14:paraId="3ABD01FF">
      <w:pPr>
        <w:spacing w:after="0" w:line="276" w:lineRule="auto"/>
        <w:jc w:val="both"/>
        <w:rPr>
          <w:rFonts w:ascii="Arial" w:hAnsi="Arial" w:cs="Arial"/>
          <w:b/>
          <w:bCs/>
          <w:sz w:val="24"/>
          <w:szCs w:val="24"/>
        </w:rPr>
      </w:pPr>
      <w:r>
        <w:rPr>
          <w:rFonts w:ascii="Arial" w:hAnsi="Arial" w:cs="Arial"/>
          <w:b/>
          <w:bCs/>
          <w:sz w:val="24"/>
          <w:szCs w:val="24"/>
        </w:rPr>
        <w:t>6. SUSTENTABILIDADE</w:t>
      </w:r>
    </w:p>
    <w:p w14:paraId="5FEC06EC">
      <w:pPr>
        <w:spacing w:after="0" w:line="276" w:lineRule="auto"/>
        <w:jc w:val="both"/>
        <w:rPr>
          <w:rFonts w:ascii="Arial" w:hAnsi="Arial" w:cs="Arial"/>
          <w:sz w:val="24"/>
          <w:szCs w:val="24"/>
        </w:rPr>
      </w:pPr>
    </w:p>
    <w:p w14:paraId="486C3116">
      <w:pPr>
        <w:spacing w:line="276" w:lineRule="auto"/>
        <w:jc w:val="both"/>
        <w:rPr>
          <w:rFonts w:ascii="Arial" w:hAnsi="Arial" w:cs="Arial"/>
          <w:b/>
          <w:bCs/>
          <w:sz w:val="24"/>
          <w:szCs w:val="24"/>
        </w:rPr>
      </w:pPr>
      <w:r>
        <w:rPr>
          <w:rFonts w:ascii="Arial" w:hAnsi="Arial" w:cs="Arial"/>
          <w:b/>
          <w:bCs/>
          <w:sz w:val="24"/>
          <w:szCs w:val="24"/>
        </w:rPr>
        <w:t>6.1</w:t>
      </w:r>
    </w:p>
    <w:p w14:paraId="2360340B">
      <w:pPr>
        <w:spacing w:line="276" w:lineRule="auto"/>
        <w:jc w:val="both"/>
        <w:rPr>
          <w:rFonts w:ascii="Arial" w:hAnsi="Arial" w:cs="Arial"/>
          <w:b/>
          <w:bCs/>
          <w:sz w:val="24"/>
          <w:szCs w:val="24"/>
        </w:rPr>
      </w:pPr>
      <w:r>
        <w:rPr>
          <w:rFonts w:ascii="Arial" w:hAnsi="Arial" w:cs="Arial"/>
          <w:b/>
          <w:bCs/>
          <w:sz w:val="24"/>
          <w:szCs w:val="24"/>
        </w:rPr>
        <w:t>6.2</w:t>
      </w:r>
    </w:p>
    <w:p w14:paraId="00A8C062">
      <w:pPr>
        <w:spacing w:line="276" w:lineRule="auto"/>
        <w:jc w:val="both"/>
        <w:rPr>
          <w:rFonts w:ascii="Arial" w:hAnsi="Arial" w:cs="Arial"/>
          <w:b/>
          <w:bCs/>
          <w:sz w:val="24"/>
          <w:szCs w:val="24"/>
        </w:rPr>
      </w:pPr>
      <w:r>
        <w:rPr>
          <w:rFonts w:ascii="Arial" w:hAnsi="Arial" w:cs="Arial"/>
          <w:b/>
          <w:bCs/>
          <w:sz w:val="24"/>
          <w:szCs w:val="24"/>
        </w:rPr>
        <w:t>6.3...</w:t>
      </w:r>
    </w:p>
    <w:p w14:paraId="43281225">
      <w:pPr>
        <w:spacing w:line="276" w:lineRule="auto"/>
        <w:jc w:val="both"/>
        <w:rPr>
          <w:rFonts w:ascii="Arial" w:hAnsi="Arial" w:cs="Arial"/>
          <w:b/>
          <w:bCs/>
          <w:sz w:val="24"/>
          <w:szCs w:val="24"/>
        </w:rPr>
      </w:pPr>
    </w:p>
    <w:p w14:paraId="0CBCE751">
      <w:pPr>
        <w:spacing w:after="0" w:line="276" w:lineRule="auto"/>
        <w:jc w:val="both"/>
        <w:rPr>
          <w:rFonts w:ascii="Arial" w:hAnsi="Arial" w:cs="Arial"/>
          <w:b/>
          <w:bCs/>
          <w:sz w:val="24"/>
          <w:szCs w:val="24"/>
        </w:rPr>
      </w:pPr>
      <w:r>
        <w:rPr>
          <w:rFonts w:ascii="Arial" w:hAnsi="Arial" w:cs="Arial"/>
          <w:b/>
          <w:bCs/>
          <w:sz w:val="24"/>
          <w:szCs w:val="24"/>
        </w:rPr>
        <w:t>7. CONTRATAÇÃO DE MICROEMPRESAS E EMPRESAS DE PEQUENO PORTE</w:t>
      </w:r>
    </w:p>
    <w:p w14:paraId="76BE01B9">
      <w:pPr>
        <w:spacing w:after="0" w:line="276" w:lineRule="auto"/>
        <w:jc w:val="both"/>
        <w:rPr>
          <w:rFonts w:ascii="Arial" w:hAnsi="Arial" w:cs="Arial"/>
          <w:sz w:val="24"/>
          <w:szCs w:val="24"/>
        </w:rPr>
      </w:pPr>
    </w:p>
    <w:p w14:paraId="4F94A0EF">
      <w:pPr>
        <w:spacing w:line="276" w:lineRule="auto"/>
        <w:jc w:val="both"/>
        <w:rPr>
          <w:rFonts w:ascii="Arial" w:hAnsi="Arial" w:cs="Arial"/>
          <w:b/>
          <w:bCs/>
          <w:sz w:val="24"/>
          <w:szCs w:val="24"/>
        </w:rPr>
      </w:pPr>
      <w:r>
        <w:rPr>
          <w:rFonts w:ascii="Arial" w:hAnsi="Arial" w:cs="Arial"/>
          <w:b/>
          <w:bCs/>
          <w:sz w:val="24"/>
          <w:szCs w:val="24"/>
        </w:rPr>
        <w:t>7.1</w:t>
      </w:r>
    </w:p>
    <w:p w14:paraId="7BE3C9CD">
      <w:pPr>
        <w:spacing w:line="276" w:lineRule="auto"/>
        <w:jc w:val="both"/>
        <w:rPr>
          <w:rFonts w:ascii="Arial" w:hAnsi="Arial" w:cs="Arial"/>
          <w:b/>
          <w:bCs/>
          <w:sz w:val="24"/>
          <w:szCs w:val="24"/>
        </w:rPr>
      </w:pPr>
    </w:p>
    <w:p w14:paraId="267F6C96">
      <w:pPr>
        <w:spacing w:after="0" w:line="276" w:lineRule="auto"/>
        <w:jc w:val="both"/>
        <w:rPr>
          <w:rFonts w:ascii="Arial" w:hAnsi="Arial" w:cs="Arial"/>
          <w:b/>
          <w:bCs/>
          <w:sz w:val="24"/>
          <w:szCs w:val="24"/>
        </w:rPr>
      </w:pPr>
      <w:r>
        <w:rPr>
          <w:rFonts w:ascii="Arial" w:hAnsi="Arial" w:cs="Arial"/>
          <w:b/>
          <w:bCs/>
          <w:sz w:val="24"/>
          <w:szCs w:val="24"/>
        </w:rPr>
        <w:t>8. CLASSIFICAÇÃO DOS BENS COMUNS</w:t>
      </w:r>
    </w:p>
    <w:p w14:paraId="79AFFA6C">
      <w:pPr>
        <w:spacing w:after="0" w:line="276" w:lineRule="auto"/>
        <w:jc w:val="both"/>
        <w:rPr>
          <w:rFonts w:ascii="Arial" w:hAnsi="Arial" w:cs="Arial"/>
          <w:b/>
          <w:bCs/>
          <w:sz w:val="24"/>
          <w:szCs w:val="24"/>
        </w:rPr>
      </w:pPr>
    </w:p>
    <w:p w14:paraId="27894F30">
      <w:pPr>
        <w:spacing w:line="276" w:lineRule="auto"/>
        <w:jc w:val="both"/>
        <w:rPr>
          <w:rFonts w:ascii="Arial" w:hAnsi="Arial" w:cs="Arial"/>
          <w:b/>
          <w:bCs/>
          <w:sz w:val="24"/>
          <w:szCs w:val="24"/>
        </w:rPr>
      </w:pPr>
      <w:r>
        <w:rPr>
          <w:rFonts w:ascii="Arial" w:hAnsi="Arial" w:cs="Arial"/>
          <w:b/>
          <w:bCs/>
          <w:sz w:val="24"/>
          <w:szCs w:val="24"/>
        </w:rPr>
        <w:t>8.1</w:t>
      </w:r>
    </w:p>
    <w:p w14:paraId="0A4F470C">
      <w:pPr>
        <w:spacing w:line="276" w:lineRule="auto"/>
        <w:jc w:val="both"/>
        <w:rPr>
          <w:rFonts w:ascii="Arial" w:hAnsi="Arial" w:cs="Arial"/>
          <w:b/>
          <w:bCs/>
          <w:sz w:val="24"/>
          <w:szCs w:val="24"/>
        </w:rPr>
      </w:pPr>
    </w:p>
    <w:p w14:paraId="129B4E7A">
      <w:pPr>
        <w:spacing w:line="276" w:lineRule="auto"/>
        <w:jc w:val="both"/>
        <w:rPr>
          <w:rFonts w:ascii="Arial" w:hAnsi="Arial" w:cs="Arial"/>
          <w:b/>
          <w:bCs/>
          <w:sz w:val="24"/>
          <w:szCs w:val="24"/>
        </w:rPr>
      </w:pPr>
    </w:p>
    <w:p w14:paraId="02C4B6CF">
      <w:pPr>
        <w:spacing w:after="0" w:line="276" w:lineRule="auto"/>
        <w:jc w:val="both"/>
        <w:rPr>
          <w:rFonts w:ascii="Arial" w:hAnsi="Arial" w:cs="Arial"/>
          <w:b/>
          <w:bCs/>
          <w:sz w:val="24"/>
          <w:szCs w:val="24"/>
        </w:rPr>
      </w:pPr>
      <w:r>
        <w:rPr>
          <w:rFonts w:ascii="Arial" w:hAnsi="Arial" w:cs="Arial"/>
          <w:b/>
          <w:bCs/>
          <w:sz w:val="24"/>
          <w:szCs w:val="24"/>
        </w:rPr>
        <w:t>9. DO LOCAL E DO PRAZO DA ENTREGA, E DOS CRITÉRIOS DE ACEITAÇÃO DO OBJETO</w:t>
      </w:r>
    </w:p>
    <w:p w14:paraId="301C5657">
      <w:pPr>
        <w:spacing w:after="0" w:line="276" w:lineRule="auto"/>
        <w:jc w:val="both"/>
        <w:rPr>
          <w:rFonts w:ascii="Arial" w:hAnsi="Arial" w:cs="Arial"/>
          <w:b/>
          <w:bCs/>
          <w:sz w:val="24"/>
          <w:szCs w:val="24"/>
        </w:rPr>
      </w:pPr>
    </w:p>
    <w:p w14:paraId="76CCC09A">
      <w:pPr>
        <w:spacing w:line="276" w:lineRule="auto"/>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O prazo de entrega dos bens é de </w:t>
      </w:r>
      <w:r>
        <w:rPr>
          <w:rFonts w:ascii="Arial" w:hAnsi="Arial" w:cs="Arial"/>
          <w:sz w:val="24"/>
          <w:szCs w:val="24"/>
          <w:highlight w:val="darkGray"/>
        </w:rPr>
        <w:t>[XXXXXX]</w:t>
      </w:r>
      <w:r>
        <w:rPr>
          <w:rFonts w:ascii="Arial" w:hAnsi="Arial" w:cs="Arial"/>
          <w:sz w:val="24"/>
          <w:szCs w:val="24"/>
        </w:rPr>
        <w:t xml:space="preserve"> dias, contados do recebimento da ordem de fornecimento (OF) e/ou nota de empenho (NE) emitida pela Divisão de Compras da UEM, em remessa (única ou parcelada), na (Divisão de Patrimônio ou de Almoxarifado ou ainda na extensão, citar o bloco), conforme endereço indicado no Anexo VI deste edital. </w:t>
      </w:r>
    </w:p>
    <w:p w14:paraId="250F1AFC">
      <w:pPr>
        <w:spacing w:after="0" w:line="276" w:lineRule="auto"/>
        <w:jc w:val="both"/>
        <w:rPr>
          <w:rFonts w:ascii="Arial" w:hAnsi="Arial" w:cs="Arial"/>
          <w:sz w:val="24"/>
          <w:szCs w:val="24"/>
        </w:rPr>
      </w:pPr>
    </w:p>
    <w:p w14:paraId="518A3254">
      <w:pPr>
        <w:spacing w:after="0" w:line="276" w:lineRule="auto"/>
        <w:jc w:val="both"/>
        <w:rPr>
          <w:rFonts w:ascii="Arial" w:hAnsi="Arial" w:cs="Arial"/>
          <w:b/>
          <w:bCs/>
          <w:sz w:val="24"/>
          <w:szCs w:val="24"/>
        </w:rPr>
      </w:pPr>
      <w:r>
        <w:rPr>
          <w:rFonts w:ascii="Arial" w:hAnsi="Arial" w:cs="Arial"/>
          <w:b/>
          <w:bCs/>
          <w:sz w:val="24"/>
          <w:szCs w:val="24"/>
          <w:highlight w:val="darkGray"/>
        </w:rPr>
        <w:t>OU</w:t>
      </w:r>
    </w:p>
    <w:p w14:paraId="513091FE">
      <w:pPr>
        <w:spacing w:after="0" w:line="276" w:lineRule="auto"/>
        <w:jc w:val="both"/>
        <w:rPr>
          <w:rFonts w:ascii="Arial" w:hAnsi="Arial" w:cs="Arial"/>
          <w:sz w:val="24"/>
          <w:szCs w:val="24"/>
        </w:rPr>
      </w:pPr>
    </w:p>
    <w:p w14:paraId="18D20F7C">
      <w:pPr>
        <w:spacing w:line="276" w:lineRule="auto"/>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O prazo de entrega dos bens é de </w:t>
      </w:r>
      <w:r>
        <w:rPr>
          <w:rFonts w:ascii="Arial" w:hAnsi="Arial" w:cs="Arial"/>
          <w:sz w:val="24"/>
          <w:szCs w:val="24"/>
          <w:highlight w:val="darkGray"/>
        </w:rPr>
        <w:t>[XXXXXX]</w:t>
      </w:r>
      <w:r>
        <w:rPr>
          <w:rFonts w:ascii="Arial" w:hAnsi="Arial" w:cs="Arial"/>
          <w:sz w:val="24"/>
          <w:szCs w:val="24"/>
        </w:rPr>
        <w:t xml:space="preserve"> dias, contados do recebimento da ordem de fornecimento (OF) e/ou nota de empenho (NE) emitida pela Divisão de Compras da UEM, em remessa (única ou parcelada), no endereço: </w:t>
      </w:r>
      <w:r>
        <w:rPr>
          <w:rFonts w:ascii="Arial" w:hAnsi="Arial" w:cs="Arial"/>
          <w:sz w:val="24"/>
          <w:szCs w:val="24"/>
          <w:highlight w:val="darkGray"/>
        </w:rPr>
        <w:t>xxxxxxx</w:t>
      </w:r>
      <w:r>
        <w:rPr>
          <w:rFonts w:ascii="Arial" w:hAnsi="Arial" w:cs="Arial"/>
          <w:sz w:val="24"/>
          <w:szCs w:val="24"/>
        </w:rPr>
        <w:t xml:space="preserve">  .</w:t>
      </w:r>
    </w:p>
    <w:p w14:paraId="3151C83E">
      <w:pPr>
        <w:spacing w:line="276" w:lineRule="auto"/>
        <w:jc w:val="both"/>
        <w:rPr>
          <w:rFonts w:ascii="Arial" w:hAnsi="Arial" w:cs="Arial"/>
          <w:b/>
          <w:bCs/>
          <w:sz w:val="24"/>
          <w:szCs w:val="24"/>
        </w:rPr>
      </w:pPr>
    </w:p>
    <w:p w14:paraId="6484A648">
      <w:pPr>
        <w:spacing w:line="276" w:lineRule="auto"/>
        <w:jc w:val="both"/>
        <w:rPr>
          <w:rFonts w:ascii="Arial" w:hAnsi="Arial" w:cs="Arial"/>
          <w:sz w:val="24"/>
          <w:szCs w:val="24"/>
        </w:rPr>
      </w:pPr>
      <w:r>
        <w:rPr>
          <w:rFonts w:ascii="Arial" w:hAnsi="Arial" w:cs="Arial"/>
          <w:b/>
          <w:bCs/>
          <w:sz w:val="24"/>
          <w:szCs w:val="24"/>
        </w:rPr>
        <w:t>9.2</w:t>
      </w:r>
      <w:r>
        <w:rPr>
          <w:rFonts w:ascii="Arial" w:hAnsi="Arial" w:cs="Arial"/>
          <w:sz w:val="24"/>
          <w:szCs w:val="24"/>
        </w:rPr>
        <w:t xml:space="preserve"> No caso de produtos perecíveis, o prazo de validade na data da entrega não poderá ser inferior a </w:t>
      </w:r>
      <w:r>
        <w:rPr>
          <w:rFonts w:ascii="Arial" w:hAnsi="Arial" w:cs="Arial"/>
          <w:sz w:val="24"/>
          <w:szCs w:val="24"/>
          <w:highlight w:val="darkGray"/>
        </w:rPr>
        <w:t>...... (......)</w:t>
      </w:r>
      <w:r>
        <w:rPr>
          <w:rFonts w:ascii="Arial" w:hAnsi="Arial" w:cs="Arial"/>
          <w:sz w:val="24"/>
          <w:szCs w:val="24"/>
        </w:rPr>
        <w:t xml:space="preserve"> (dias ou meses ou anos), ou a (metade, um terço, dois terços etc.) do prazo total recomendado pelo fabricante.</w:t>
      </w:r>
    </w:p>
    <w:p w14:paraId="649B8A6D">
      <w:pPr>
        <w:spacing w:after="0" w:line="276" w:lineRule="auto"/>
        <w:jc w:val="both"/>
        <w:rPr>
          <w:rFonts w:ascii="Arial" w:hAnsi="Arial" w:cs="Arial"/>
          <w:sz w:val="24"/>
          <w:szCs w:val="24"/>
        </w:rPr>
      </w:pPr>
    </w:p>
    <w:p w14:paraId="35084390">
      <w:pPr>
        <w:spacing w:after="0" w:line="276" w:lineRule="auto"/>
        <w:jc w:val="both"/>
        <w:rPr>
          <w:rFonts w:ascii="Arial" w:hAnsi="Arial" w:cs="Arial"/>
          <w:b/>
          <w:bCs/>
          <w:sz w:val="24"/>
          <w:szCs w:val="24"/>
        </w:rPr>
      </w:pPr>
      <w:r>
        <w:rPr>
          <w:rFonts w:ascii="Arial" w:hAnsi="Arial" w:cs="Arial"/>
          <w:b/>
          <w:bCs/>
          <w:sz w:val="24"/>
          <w:szCs w:val="24"/>
          <w:highlight w:val="darkGray"/>
        </w:rPr>
        <w:t>OU</w:t>
      </w:r>
    </w:p>
    <w:p w14:paraId="0A1CF8F0">
      <w:pPr>
        <w:spacing w:after="0" w:line="276" w:lineRule="auto"/>
        <w:jc w:val="both"/>
        <w:rPr>
          <w:rFonts w:ascii="Arial" w:hAnsi="Arial" w:cs="Arial"/>
          <w:sz w:val="24"/>
          <w:szCs w:val="24"/>
        </w:rPr>
      </w:pPr>
    </w:p>
    <w:p w14:paraId="787809DE">
      <w:pPr>
        <w:spacing w:line="276" w:lineRule="auto"/>
        <w:jc w:val="both"/>
        <w:rPr>
          <w:rFonts w:ascii="Arial" w:hAnsi="Arial" w:cs="Arial"/>
          <w:sz w:val="24"/>
          <w:szCs w:val="24"/>
        </w:rPr>
      </w:pPr>
      <w:r>
        <w:rPr>
          <w:rFonts w:ascii="Arial" w:hAnsi="Arial" w:cs="Arial"/>
          <w:b/>
          <w:bCs/>
          <w:sz w:val="24"/>
          <w:szCs w:val="24"/>
        </w:rPr>
        <w:t>9.2</w:t>
      </w:r>
      <w:r>
        <w:rPr>
          <w:rFonts w:ascii="Arial" w:hAnsi="Arial" w:cs="Arial"/>
          <w:sz w:val="24"/>
          <w:szCs w:val="24"/>
        </w:rPr>
        <w:t xml:space="preserve"> Não há produtos perecíveis no objeto.</w:t>
      </w:r>
    </w:p>
    <w:p w14:paraId="26CF280F">
      <w:pPr>
        <w:spacing w:line="276" w:lineRule="auto"/>
        <w:jc w:val="both"/>
        <w:rPr>
          <w:rFonts w:ascii="Arial" w:hAnsi="Arial" w:cs="Arial"/>
          <w:sz w:val="24"/>
          <w:szCs w:val="24"/>
        </w:rPr>
      </w:pPr>
      <w:r>
        <w:rPr>
          <w:rFonts w:ascii="Arial" w:hAnsi="Arial" w:cs="Arial"/>
          <w:b/>
          <w:bCs/>
          <w:sz w:val="24"/>
          <w:szCs w:val="24"/>
        </w:rPr>
        <w:t>9.3</w:t>
      </w:r>
      <w:r>
        <w:rPr>
          <w:rFonts w:ascii="Arial" w:hAnsi="Arial" w:cs="Arial"/>
          <w:sz w:val="24"/>
          <w:szCs w:val="24"/>
        </w:rPr>
        <w:t xml:space="preserve"> Os bens serão recebidos provisoriamente no prazo de </w:t>
      </w:r>
      <w:r>
        <w:rPr>
          <w:rFonts w:ascii="Arial" w:hAnsi="Arial" w:cs="Arial"/>
          <w:sz w:val="24"/>
          <w:szCs w:val="24"/>
          <w:highlight w:val="darkGray"/>
        </w:rPr>
        <w:t>10 (dez) dias</w:t>
      </w:r>
      <w:r>
        <w:rPr>
          <w:rFonts w:ascii="Arial" w:hAnsi="Arial" w:cs="Arial"/>
          <w:sz w:val="24"/>
          <w:szCs w:val="24"/>
        </w:rPr>
        <w:t>, pelo(a) responsável pelo acompanhamento e fiscalização do contrato, para efeito de posterior verificação de sua conformidade com as especificações constantes neste Termo de Referência e na proposta.</w:t>
      </w:r>
    </w:p>
    <w:p w14:paraId="5D603639">
      <w:pPr>
        <w:spacing w:after="0" w:line="276" w:lineRule="auto"/>
        <w:jc w:val="both"/>
        <w:rPr>
          <w:rFonts w:ascii="Arial" w:hAnsi="Arial" w:cs="Arial"/>
          <w:b/>
          <w:bCs/>
          <w:sz w:val="24"/>
          <w:szCs w:val="24"/>
        </w:rPr>
      </w:pPr>
      <w:r>
        <w:rPr>
          <w:rFonts w:ascii="Arial" w:hAnsi="Arial" w:cs="Arial"/>
          <w:b/>
          <w:bCs/>
          <w:sz w:val="24"/>
          <w:szCs w:val="24"/>
          <w:highlight w:val="darkGray"/>
        </w:rPr>
        <w:t>OU</w:t>
      </w:r>
    </w:p>
    <w:p w14:paraId="5A534C64">
      <w:pPr>
        <w:spacing w:line="276" w:lineRule="auto"/>
        <w:jc w:val="both"/>
        <w:rPr>
          <w:rFonts w:ascii="Arial" w:hAnsi="Arial" w:cs="Arial"/>
          <w:sz w:val="24"/>
          <w:szCs w:val="24"/>
        </w:rPr>
      </w:pPr>
      <w:r>
        <w:rPr>
          <w:rFonts w:ascii="Arial" w:hAnsi="Arial" w:cs="Arial"/>
          <w:b/>
          <w:bCs/>
          <w:sz w:val="24"/>
          <w:szCs w:val="24"/>
        </w:rPr>
        <w:t>9.3</w:t>
      </w:r>
      <w:r>
        <w:rPr>
          <w:rFonts w:ascii="Arial" w:hAnsi="Arial" w:cs="Arial"/>
          <w:sz w:val="24"/>
          <w:szCs w:val="24"/>
        </w:rPr>
        <w:t xml:space="preserve"> Para este objeto fica dispensado o recebimento provisório nos termos do art. 359 do Decreto n.º 10.086, de 2022 e inciso II do art. 75, da Lei Federal n.º 14.133, de 2021.</w:t>
      </w:r>
    </w:p>
    <w:p w14:paraId="205AB5C1">
      <w:pPr>
        <w:spacing w:line="276" w:lineRule="auto"/>
        <w:jc w:val="both"/>
        <w:rPr>
          <w:rFonts w:ascii="Arial" w:hAnsi="Arial" w:cs="Arial"/>
          <w:sz w:val="24"/>
          <w:szCs w:val="24"/>
        </w:rPr>
      </w:pPr>
      <w:r>
        <w:rPr>
          <w:rFonts w:ascii="Arial" w:hAnsi="Arial" w:cs="Arial"/>
          <w:b/>
          <w:bCs/>
          <w:sz w:val="24"/>
          <w:szCs w:val="24"/>
        </w:rPr>
        <w:t>9.4</w:t>
      </w:r>
      <w:r>
        <w:rPr>
          <w:rFonts w:ascii="Arial" w:hAnsi="Arial" w:cs="Arial"/>
          <w:sz w:val="24"/>
          <w:szCs w:val="24"/>
        </w:rPr>
        <w:t xml:space="preserve"> Os bens poderão ser rejeitados, no todo ou em parte, quando em desacordo com as especificações constantes neste Termo de Referência e na proposta, devendo ser substituídos no prazo de </w:t>
      </w:r>
      <w:r>
        <w:rPr>
          <w:rFonts w:ascii="Arial" w:hAnsi="Arial" w:cs="Arial"/>
          <w:sz w:val="24"/>
          <w:szCs w:val="24"/>
          <w:highlight w:val="darkGray"/>
        </w:rPr>
        <w:t>[XXXXXXX] (XXXX)</w:t>
      </w:r>
      <w:r>
        <w:rPr>
          <w:rFonts w:ascii="Arial" w:hAnsi="Arial" w:cs="Arial"/>
          <w:sz w:val="24"/>
          <w:szCs w:val="24"/>
        </w:rPr>
        <w:t xml:space="preserve"> dias, a contar da notificação do contratado, às suas custas, sem prejuízo da aplicação das penalidades.</w:t>
      </w:r>
    </w:p>
    <w:p w14:paraId="5917B3F0">
      <w:pPr>
        <w:spacing w:line="276" w:lineRule="auto"/>
        <w:jc w:val="both"/>
        <w:rPr>
          <w:rFonts w:ascii="Arial" w:hAnsi="Arial" w:cs="Arial"/>
          <w:sz w:val="24"/>
          <w:szCs w:val="24"/>
        </w:rPr>
      </w:pPr>
      <w:r>
        <w:rPr>
          <w:rFonts w:ascii="Arial" w:hAnsi="Arial" w:cs="Arial"/>
          <w:b/>
          <w:bCs/>
          <w:sz w:val="24"/>
          <w:szCs w:val="24"/>
        </w:rPr>
        <w:t>9.5</w:t>
      </w:r>
      <w:r>
        <w:rPr>
          <w:rFonts w:ascii="Arial" w:hAnsi="Arial" w:cs="Arial"/>
          <w:sz w:val="24"/>
          <w:szCs w:val="24"/>
        </w:rPr>
        <w:t xml:space="preserve"> Os bens serão recebidos definitivamente no prazo de </w:t>
      </w:r>
      <w:r>
        <w:rPr>
          <w:rFonts w:ascii="Arial" w:hAnsi="Arial" w:cs="Arial"/>
          <w:sz w:val="24"/>
          <w:szCs w:val="24"/>
          <w:highlight w:val="darkGray"/>
        </w:rPr>
        <w:t>10 (dez) dias úteis</w:t>
      </w:r>
      <w:r>
        <w:rPr>
          <w:rFonts w:ascii="Arial" w:hAnsi="Arial" w:cs="Arial"/>
          <w:sz w:val="24"/>
          <w:szCs w:val="24"/>
        </w:rPr>
        <w:t xml:space="preserve">, contados do recebimento provisório, após a verificação da qualidade e quantidade do material e consequente aceitação mediante termo circunstanciado. </w:t>
      </w:r>
    </w:p>
    <w:p w14:paraId="3AEA40E6">
      <w:pPr>
        <w:spacing w:line="276" w:lineRule="auto"/>
        <w:jc w:val="both"/>
        <w:rPr>
          <w:rFonts w:ascii="Arial" w:hAnsi="Arial" w:cs="Arial"/>
          <w:sz w:val="24"/>
          <w:szCs w:val="24"/>
        </w:rPr>
      </w:pPr>
      <w:r>
        <w:rPr>
          <w:rFonts w:ascii="Arial" w:hAnsi="Arial" w:cs="Arial"/>
          <w:b/>
          <w:bCs/>
          <w:sz w:val="24"/>
          <w:szCs w:val="24"/>
        </w:rPr>
        <w:t>9.5.1</w:t>
      </w:r>
      <w:r>
        <w:rPr>
          <w:rFonts w:ascii="Arial" w:hAnsi="Arial" w:cs="Arial"/>
          <w:sz w:val="24"/>
          <w:szCs w:val="24"/>
        </w:rPr>
        <w:t xml:space="preserve"> Na hipótese de a verificação a que se refere o subitem anterior não ser procedida dentro do prazo fixado, reputar-se-á como realizada, consumando-se o recebimento definitivo no dia do esgotamento do prazo. </w:t>
      </w:r>
    </w:p>
    <w:p w14:paraId="6BA3774F">
      <w:pPr>
        <w:spacing w:line="276" w:lineRule="auto"/>
        <w:jc w:val="both"/>
        <w:rPr>
          <w:rFonts w:ascii="Arial" w:hAnsi="Arial" w:cs="Arial"/>
          <w:sz w:val="24"/>
          <w:szCs w:val="24"/>
        </w:rPr>
      </w:pPr>
      <w:r>
        <w:rPr>
          <w:rFonts w:ascii="Arial" w:hAnsi="Arial" w:cs="Arial"/>
          <w:b/>
          <w:bCs/>
          <w:sz w:val="24"/>
          <w:szCs w:val="24"/>
        </w:rPr>
        <w:t>9.6</w:t>
      </w:r>
      <w:r>
        <w:rPr>
          <w:rFonts w:ascii="Arial" w:hAnsi="Arial" w:cs="Arial"/>
          <w:sz w:val="24"/>
          <w:szCs w:val="24"/>
        </w:rPr>
        <w:t xml:space="preserve"> O recebimento provisório ou definitivo do objeto não exclui a responsabilidade do contratado pelos prejuízos resultantes da incorreta execução do contrato.</w:t>
      </w:r>
    </w:p>
    <w:p w14:paraId="098E740C">
      <w:pPr>
        <w:spacing w:line="276" w:lineRule="auto"/>
        <w:jc w:val="both"/>
        <w:rPr>
          <w:rFonts w:ascii="Arial" w:hAnsi="Arial" w:cs="Arial"/>
          <w:sz w:val="24"/>
          <w:szCs w:val="24"/>
        </w:rPr>
      </w:pPr>
      <w:r>
        <w:rPr>
          <w:rFonts w:ascii="Arial" w:hAnsi="Arial" w:cs="Arial"/>
          <w:b/>
          <w:bCs/>
          <w:sz w:val="24"/>
          <w:szCs w:val="24"/>
        </w:rPr>
        <w:t>9.7</w:t>
      </w:r>
      <w:r>
        <w:rPr>
          <w:rFonts w:ascii="Arial" w:hAnsi="Arial" w:cs="Arial"/>
          <w:sz w:val="24"/>
          <w:szCs w:val="24"/>
        </w:rPr>
        <w:t xml:space="preserve"> O Contratado deverá ter disponibilidade e capacidade de entregar o objeto nos endereços relacionados </w:t>
      </w:r>
      <w:r>
        <w:rPr>
          <w:rFonts w:ascii="Arial" w:hAnsi="Arial" w:cs="Arial"/>
          <w:sz w:val="24"/>
          <w:szCs w:val="24"/>
          <w:highlight w:val="darkGray"/>
        </w:rPr>
        <w:t>no Anexo VI deste Edital ou no Aviso de Dispensa</w:t>
      </w:r>
      <w:r>
        <w:rPr>
          <w:rFonts w:ascii="Arial" w:hAnsi="Arial" w:cs="Arial"/>
          <w:sz w:val="24"/>
          <w:szCs w:val="24"/>
        </w:rPr>
        <w:t>, conforme as condições e as necessidades do licitante.</w:t>
      </w:r>
    </w:p>
    <w:p w14:paraId="6A474D0F">
      <w:pPr>
        <w:spacing w:line="276" w:lineRule="auto"/>
        <w:jc w:val="both"/>
        <w:rPr>
          <w:rFonts w:ascii="Arial" w:hAnsi="Arial" w:cs="Arial"/>
          <w:sz w:val="24"/>
          <w:szCs w:val="24"/>
        </w:rPr>
      </w:pPr>
      <w:r>
        <w:rPr>
          <w:rFonts w:ascii="Arial" w:hAnsi="Arial" w:cs="Arial"/>
          <w:b/>
          <w:bCs/>
          <w:sz w:val="24"/>
          <w:szCs w:val="24"/>
        </w:rPr>
        <w:t>9.8</w:t>
      </w:r>
      <w:r>
        <w:rPr>
          <w:rFonts w:ascii="Arial" w:hAnsi="Arial" w:cs="Arial"/>
          <w:sz w:val="24"/>
          <w:szCs w:val="24"/>
        </w:rPr>
        <w:t xml:space="preserve"> Os critérios para o recebimento estão especificados no </w:t>
      </w:r>
      <w:r>
        <w:rPr>
          <w:rFonts w:ascii="Arial" w:hAnsi="Arial" w:cs="Arial"/>
          <w:sz w:val="24"/>
          <w:szCs w:val="24"/>
          <w:highlight w:val="darkGray"/>
        </w:rPr>
        <w:t>item 7 do Anexo VII (minuta do contrato)</w:t>
      </w:r>
      <w:r>
        <w:rPr>
          <w:rFonts w:ascii="Arial" w:hAnsi="Arial" w:cs="Arial"/>
          <w:sz w:val="24"/>
          <w:szCs w:val="24"/>
        </w:rPr>
        <w:t>, ou no Anexo a Nota de empenho no caso de não ser obrigatória a formalização de contrato.</w:t>
      </w:r>
    </w:p>
    <w:p w14:paraId="6C1D8CF5">
      <w:pPr>
        <w:spacing w:line="276" w:lineRule="auto"/>
        <w:jc w:val="both"/>
        <w:rPr>
          <w:rFonts w:ascii="Arial" w:hAnsi="Arial" w:cs="Arial"/>
          <w:sz w:val="24"/>
          <w:szCs w:val="24"/>
        </w:rPr>
      </w:pPr>
    </w:p>
    <w:p w14:paraId="116D8357">
      <w:pPr>
        <w:spacing w:after="0" w:line="276" w:lineRule="auto"/>
        <w:jc w:val="both"/>
        <w:rPr>
          <w:rFonts w:ascii="Arial" w:hAnsi="Arial" w:cs="Arial"/>
          <w:b/>
          <w:bCs/>
          <w:sz w:val="24"/>
          <w:szCs w:val="24"/>
        </w:rPr>
      </w:pPr>
      <w:r>
        <w:rPr>
          <w:rFonts w:ascii="Arial" w:hAnsi="Arial" w:cs="Arial"/>
          <w:b/>
          <w:bCs/>
          <w:sz w:val="24"/>
          <w:szCs w:val="24"/>
        </w:rPr>
        <w:t>10. OBRIGAÇÕES DO CONTRATADO E DO CONTRATANTE</w:t>
      </w:r>
    </w:p>
    <w:p w14:paraId="441CF46E">
      <w:pPr>
        <w:spacing w:after="0" w:line="276" w:lineRule="auto"/>
        <w:jc w:val="both"/>
        <w:rPr>
          <w:rFonts w:ascii="Arial" w:hAnsi="Arial" w:cs="Arial"/>
          <w:b/>
          <w:bCs/>
          <w:sz w:val="24"/>
          <w:szCs w:val="24"/>
        </w:rPr>
      </w:pPr>
      <w:r>
        <w:rPr>
          <w:rFonts w:ascii="Arial" w:hAnsi="Arial" w:cs="Arial"/>
          <w:b/>
          <w:bCs/>
          <w:sz w:val="24"/>
          <w:szCs w:val="24"/>
          <w:highlight w:val="darkGray"/>
        </w:rPr>
        <w:t>O setor competente poderá incluir novas obrigações nos itens 10.1 e 10.2, de acordo com as especificações do objeto a ser contratado. Necessário deixar uma opção para incluir ao final</w:t>
      </w:r>
    </w:p>
    <w:p w14:paraId="78E4FB43">
      <w:pPr>
        <w:spacing w:after="0" w:line="276" w:lineRule="auto"/>
        <w:jc w:val="both"/>
        <w:rPr>
          <w:rFonts w:ascii="Arial" w:hAnsi="Arial" w:cs="Arial"/>
          <w:b/>
          <w:bCs/>
          <w:sz w:val="24"/>
          <w:szCs w:val="24"/>
        </w:rPr>
      </w:pPr>
    </w:p>
    <w:p w14:paraId="6A8CCB37">
      <w:pPr>
        <w:spacing w:line="276" w:lineRule="auto"/>
        <w:jc w:val="both"/>
        <w:rPr>
          <w:rFonts w:ascii="Arial" w:hAnsi="Arial" w:cs="Arial"/>
          <w:sz w:val="24"/>
          <w:szCs w:val="24"/>
        </w:rPr>
      </w:pPr>
      <w:r>
        <w:rPr>
          <w:rFonts w:ascii="Arial" w:hAnsi="Arial" w:cs="Arial"/>
          <w:b/>
          <w:bCs/>
          <w:sz w:val="24"/>
          <w:szCs w:val="24"/>
        </w:rPr>
        <w:t>10.1</w:t>
      </w:r>
      <w:r>
        <w:rPr>
          <w:rFonts w:ascii="Arial" w:hAnsi="Arial" w:cs="Arial"/>
          <w:sz w:val="24"/>
          <w:szCs w:val="24"/>
        </w:rPr>
        <w:t xml:space="preserve"> São obrigações do Contratado:</w:t>
      </w:r>
    </w:p>
    <w:p w14:paraId="52DD83D0">
      <w:pPr>
        <w:spacing w:line="276" w:lineRule="auto"/>
        <w:jc w:val="both"/>
        <w:rPr>
          <w:rFonts w:ascii="Arial" w:hAnsi="Arial" w:cs="Arial"/>
          <w:sz w:val="24"/>
          <w:szCs w:val="24"/>
        </w:rPr>
      </w:pPr>
      <w:r>
        <w:rPr>
          <w:rFonts w:ascii="Arial" w:hAnsi="Arial" w:cs="Arial"/>
          <w:b/>
          <w:bCs/>
          <w:sz w:val="24"/>
          <w:szCs w:val="24"/>
        </w:rPr>
        <w:t>10.1.1</w:t>
      </w:r>
      <w:r>
        <w:rPr>
          <w:rFonts w:ascii="Arial" w:hAnsi="Arial" w:cs="Arial"/>
          <w:sz w:val="24"/>
          <w:szCs w:val="24"/>
        </w:rPr>
        <w:t xml:space="preserve"> efetuar a entrega do objeto em perfeitas condições, ou a prestação do serviço, conforme especificações, prazo e local constantes no edital, ou aviso de dispensa e seus anexos, acompanhado da respectiva nota fiscal, na qual constarão as indicações referentes à: marca, fabricante, modelo, procedência e prazo de garantia ou validade, e acompanhado do manual do usuário, com uma versão em português e da relação da rede de assistência técnica autorizada, quando cabível;</w:t>
      </w:r>
    </w:p>
    <w:p w14:paraId="0EA5305B">
      <w:pPr>
        <w:spacing w:line="276" w:lineRule="auto"/>
        <w:jc w:val="both"/>
        <w:rPr>
          <w:rFonts w:ascii="Arial" w:hAnsi="Arial" w:cs="Arial"/>
          <w:sz w:val="24"/>
          <w:szCs w:val="24"/>
        </w:rPr>
      </w:pPr>
      <w:r>
        <w:rPr>
          <w:rFonts w:ascii="Arial" w:hAnsi="Arial" w:cs="Arial"/>
          <w:b/>
          <w:bCs/>
          <w:sz w:val="24"/>
          <w:szCs w:val="24"/>
        </w:rPr>
        <w:t>10.1.2</w:t>
      </w:r>
      <w:r>
        <w:rPr>
          <w:rFonts w:ascii="Arial" w:hAnsi="Arial" w:cs="Arial"/>
          <w:sz w:val="24"/>
          <w:szCs w:val="24"/>
        </w:rPr>
        <w:t xml:space="preserve"> responsabilizar-se pelos vícios e danos decorrentes do objeto, de acordo com os artigos 12, 13 e 17 a 27, do Código de Defesa do Consumidor (Lei n.º 8.078, de 1990);</w:t>
      </w:r>
    </w:p>
    <w:p w14:paraId="79F9D236">
      <w:pPr>
        <w:spacing w:line="276" w:lineRule="auto"/>
        <w:jc w:val="both"/>
        <w:rPr>
          <w:rFonts w:ascii="Arial" w:hAnsi="Arial" w:cs="Arial"/>
          <w:sz w:val="24"/>
          <w:szCs w:val="24"/>
        </w:rPr>
      </w:pPr>
      <w:r>
        <w:rPr>
          <w:rFonts w:ascii="Arial" w:hAnsi="Arial" w:cs="Arial"/>
          <w:b/>
          <w:bCs/>
          <w:sz w:val="24"/>
          <w:szCs w:val="24"/>
        </w:rPr>
        <w:t>10.1.3</w:t>
      </w:r>
      <w:r>
        <w:rPr>
          <w:rFonts w:ascii="Arial" w:hAnsi="Arial" w:cs="Arial"/>
          <w:sz w:val="24"/>
          <w:szCs w:val="24"/>
        </w:rPr>
        <w:t xml:space="preserve"> substituir, reparar ou corrigir, às suas expensas, no prazo fixado no termo de referência, o objeto com avarias ou defeitos;</w:t>
      </w:r>
    </w:p>
    <w:p w14:paraId="2FDF8C6E">
      <w:pPr>
        <w:spacing w:line="276" w:lineRule="auto"/>
        <w:jc w:val="both"/>
        <w:rPr>
          <w:rFonts w:ascii="Arial" w:hAnsi="Arial" w:cs="Arial"/>
          <w:sz w:val="24"/>
          <w:szCs w:val="24"/>
        </w:rPr>
      </w:pPr>
      <w:r>
        <w:rPr>
          <w:rFonts w:ascii="Arial" w:hAnsi="Arial" w:cs="Arial"/>
          <w:b/>
          <w:bCs/>
          <w:sz w:val="24"/>
          <w:szCs w:val="24"/>
        </w:rPr>
        <w:t>10.1.4</w:t>
      </w:r>
      <w:r>
        <w:rPr>
          <w:rFonts w:ascii="Arial" w:hAnsi="Arial" w:cs="Arial"/>
          <w:sz w:val="24"/>
          <w:szCs w:val="24"/>
        </w:rPr>
        <w:t xml:space="preserve"> comunicar ao Contratante, no prazo máximo de 24 (vinte e quatro) horas que antecede a data da entrega, os motivos que impossibilitem o cumprimento do prazo previsto, com a devida comprovação;</w:t>
      </w:r>
    </w:p>
    <w:p w14:paraId="365470E8">
      <w:pPr>
        <w:spacing w:line="276" w:lineRule="auto"/>
        <w:jc w:val="both"/>
        <w:rPr>
          <w:rFonts w:ascii="Arial" w:hAnsi="Arial" w:cs="Arial"/>
          <w:sz w:val="24"/>
          <w:szCs w:val="24"/>
        </w:rPr>
      </w:pPr>
      <w:r>
        <w:rPr>
          <w:rFonts w:ascii="Arial" w:hAnsi="Arial" w:cs="Arial"/>
          <w:b/>
          <w:bCs/>
          <w:sz w:val="24"/>
          <w:szCs w:val="24"/>
        </w:rPr>
        <w:t>10.1.5</w:t>
      </w:r>
      <w:r>
        <w:rPr>
          <w:rFonts w:ascii="Arial" w:hAnsi="Arial" w:cs="Arial"/>
          <w:sz w:val="24"/>
          <w:szCs w:val="24"/>
        </w:rPr>
        <w:t xml:space="preserve"> indicar preposto para representá-lo durante a execução do contrato, e manter comunicação com representante da Administração para a gestão do contrato;</w:t>
      </w:r>
    </w:p>
    <w:p w14:paraId="00E011E0">
      <w:pPr>
        <w:spacing w:line="276" w:lineRule="auto"/>
        <w:jc w:val="both"/>
        <w:rPr>
          <w:rFonts w:ascii="Arial" w:hAnsi="Arial" w:cs="Arial"/>
          <w:sz w:val="24"/>
          <w:szCs w:val="24"/>
        </w:rPr>
      </w:pPr>
      <w:r>
        <w:rPr>
          <w:rFonts w:ascii="Arial" w:hAnsi="Arial" w:cs="Arial"/>
          <w:b/>
          <w:bCs/>
          <w:sz w:val="24"/>
          <w:szCs w:val="24"/>
        </w:rPr>
        <w:t>10.1.6</w:t>
      </w:r>
      <w:r>
        <w:rPr>
          <w:rFonts w:ascii="Arial" w:hAnsi="Arial" w:cs="Arial"/>
          <w:sz w:val="24"/>
          <w:szCs w:val="24"/>
        </w:rPr>
        <w:t xml:space="preserve"> manter durante toda a vigência do contrato, em compatibilidade com as obrigações assumidas, todas as condições de habilitação e qualificação exigidas na licitação;</w:t>
      </w:r>
    </w:p>
    <w:p w14:paraId="725B866A">
      <w:pPr>
        <w:spacing w:line="276" w:lineRule="auto"/>
        <w:jc w:val="both"/>
        <w:rPr>
          <w:rFonts w:ascii="Arial" w:hAnsi="Arial" w:cs="Arial"/>
          <w:sz w:val="24"/>
          <w:szCs w:val="24"/>
        </w:rPr>
      </w:pPr>
      <w:r>
        <w:rPr>
          <w:rFonts w:ascii="Arial" w:hAnsi="Arial" w:cs="Arial"/>
          <w:b/>
          <w:bCs/>
          <w:sz w:val="24"/>
          <w:szCs w:val="24"/>
        </w:rPr>
        <w:t>10.1.7</w:t>
      </w:r>
      <w:r>
        <w:rPr>
          <w:rFonts w:ascii="Arial" w:hAnsi="Arial" w:cs="Arial"/>
          <w:sz w:val="24"/>
          <w:szCs w:val="24"/>
        </w:rPr>
        <w:t xml:space="preserve"> manter atualizado os seus dados no Portal Nacional de Contratações Públicas (PNCP) e no Cadastro Unificado de Fornecedores do Estado do Paraná, conforme legislação vigente;</w:t>
      </w:r>
    </w:p>
    <w:p w14:paraId="61AA0A3D">
      <w:pPr>
        <w:spacing w:line="276" w:lineRule="auto"/>
        <w:jc w:val="both"/>
        <w:rPr>
          <w:rFonts w:ascii="Arial" w:hAnsi="Arial" w:cs="Arial"/>
          <w:sz w:val="24"/>
          <w:szCs w:val="24"/>
        </w:rPr>
      </w:pPr>
      <w:r>
        <w:rPr>
          <w:rFonts w:ascii="Arial" w:hAnsi="Arial" w:cs="Arial"/>
          <w:b/>
          <w:bCs/>
          <w:sz w:val="24"/>
          <w:szCs w:val="24"/>
        </w:rPr>
        <w:t>10.1.8</w:t>
      </w:r>
      <w:r>
        <w:rPr>
          <w:rFonts w:ascii="Arial" w:hAnsi="Arial" w:cs="Arial"/>
          <w:sz w:val="24"/>
          <w:szCs w:val="24"/>
        </w:rPr>
        <w:t xml:space="preserve"> guardar sigilo sobre todas as informações obtidas em decorrência do cumprimento do contrato;</w:t>
      </w:r>
    </w:p>
    <w:p w14:paraId="3889CC93">
      <w:pPr>
        <w:spacing w:line="276" w:lineRule="auto"/>
        <w:jc w:val="both"/>
        <w:rPr>
          <w:rFonts w:ascii="Arial" w:hAnsi="Arial" w:cs="Arial"/>
          <w:sz w:val="24"/>
          <w:szCs w:val="24"/>
        </w:rPr>
      </w:pPr>
      <w:r>
        <w:rPr>
          <w:rFonts w:ascii="Arial" w:hAnsi="Arial" w:cs="Arial"/>
          <w:b/>
          <w:bCs/>
          <w:sz w:val="24"/>
          <w:szCs w:val="24"/>
        </w:rPr>
        <w:t>10.1.9</w:t>
      </w:r>
      <w:r>
        <w:rPr>
          <w:rFonts w:ascii="Arial" w:hAnsi="Arial" w:cs="Arial"/>
          <w:sz w:val="24"/>
          <w:szCs w:val="24"/>
        </w:rPr>
        <w:t xml:space="preserve"> arcar com o ônus decorrente de eventual equívoco no dimensionamento dos quantitativos de sua proposta, devendo complementá-los, caso o previsto inicialmente em sua proposta não seja satisfatório para o atendimento ao objeto da licitação, exceto quando houver:</w:t>
      </w:r>
    </w:p>
    <w:p w14:paraId="55489211">
      <w:pPr>
        <w:spacing w:line="276" w:lineRule="auto"/>
        <w:jc w:val="both"/>
        <w:rPr>
          <w:rFonts w:ascii="Arial" w:hAnsi="Arial" w:cs="Arial"/>
          <w:sz w:val="24"/>
          <w:szCs w:val="24"/>
        </w:rPr>
      </w:pPr>
      <w:r>
        <w:rPr>
          <w:rFonts w:ascii="Arial" w:hAnsi="Arial" w:cs="Arial"/>
          <w:b/>
          <w:bCs/>
          <w:sz w:val="24"/>
          <w:szCs w:val="24"/>
        </w:rPr>
        <w:t>10.1.9.1</w:t>
      </w:r>
      <w:r>
        <w:rPr>
          <w:rFonts w:ascii="Arial" w:hAnsi="Arial" w:cs="Arial"/>
          <w:sz w:val="24"/>
          <w:szCs w:val="24"/>
        </w:rPr>
        <w:t xml:space="preserve"> alteração qualitativa do projeto ou de suas especificações pela Administração;</w:t>
      </w:r>
    </w:p>
    <w:p w14:paraId="13ABB8E2">
      <w:pPr>
        <w:spacing w:line="276" w:lineRule="auto"/>
        <w:jc w:val="both"/>
        <w:rPr>
          <w:rFonts w:ascii="Arial" w:hAnsi="Arial" w:cs="Arial"/>
          <w:sz w:val="24"/>
          <w:szCs w:val="24"/>
        </w:rPr>
      </w:pPr>
      <w:r>
        <w:rPr>
          <w:rFonts w:ascii="Arial" w:hAnsi="Arial" w:cs="Arial"/>
          <w:b/>
          <w:bCs/>
          <w:sz w:val="24"/>
          <w:szCs w:val="24"/>
        </w:rPr>
        <w:t>10.1.9.2</w:t>
      </w:r>
      <w:r>
        <w:rPr>
          <w:rFonts w:ascii="Arial" w:hAnsi="Arial" w:cs="Arial"/>
          <w:sz w:val="24"/>
          <w:szCs w:val="24"/>
        </w:rPr>
        <w:t xml:space="preserve"> retardamento na expedição da ordem de execução do serviço ou autorização de fornecimento, interrupção da execução do contrato ou diminuição do ritmo do trabalho, por ordem e no interesse da Administração;</w:t>
      </w:r>
    </w:p>
    <w:p w14:paraId="0C9D690D">
      <w:pPr>
        <w:spacing w:line="276" w:lineRule="auto"/>
        <w:jc w:val="both"/>
        <w:rPr>
          <w:rFonts w:ascii="Arial" w:hAnsi="Arial" w:cs="Arial"/>
          <w:sz w:val="24"/>
          <w:szCs w:val="24"/>
        </w:rPr>
      </w:pPr>
      <w:r>
        <w:rPr>
          <w:rFonts w:ascii="Arial" w:hAnsi="Arial" w:cs="Arial"/>
          <w:b/>
          <w:bCs/>
          <w:sz w:val="24"/>
          <w:szCs w:val="24"/>
        </w:rPr>
        <w:t>10.1.9.3</w:t>
      </w:r>
      <w:r>
        <w:rPr>
          <w:rFonts w:ascii="Arial" w:hAnsi="Arial" w:cs="Arial"/>
          <w:sz w:val="24"/>
          <w:szCs w:val="24"/>
        </w:rPr>
        <w:t xml:space="preserve"> aumento das quantidades inicialmente previstas no contrato, nos limites permitidos pela Lei Federal n.º 14.133, de 2021;</w:t>
      </w:r>
    </w:p>
    <w:p w14:paraId="36861A45">
      <w:pPr>
        <w:spacing w:line="276" w:lineRule="auto"/>
        <w:jc w:val="both"/>
        <w:rPr>
          <w:rFonts w:ascii="Arial" w:hAnsi="Arial" w:cs="Arial"/>
          <w:sz w:val="24"/>
          <w:szCs w:val="24"/>
        </w:rPr>
      </w:pPr>
      <w:r>
        <w:rPr>
          <w:rFonts w:ascii="Arial" w:hAnsi="Arial" w:cs="Arial"/>
          <w:b/>
          <w:bCs/>
          <w:sz w:val="24"/>
          <w:szCs w:val="24"/>
        </w:rPr>
        <w:t>10.1.9.4</w:t>
      </w:r>
      <w:r>
        <w:rPr>
          <w:rFonts w:ascii="Arial" w:hAnsi="Arial" w:cs="Arial"/>
          <w:sz w:val="24"/>
          <w:szCs w:val="24"/>
          <w:highlight w:val="darkGray"/>
        </w:rPr>
        <w:t>...</w:t>
      </w:r>
    </w:p>
    <w:p w14:paraId="11BFCD61">
      <w:pPr>
        <w:spacing w:line="276" w:lineRule="auto"/>
        <w:jc w:val="both"/>
        <w:rPr>
          <w:rFonts w:ascii="Arial" w:hAnsi="Arial" w:cs="Arial"/>
          <w:sz w:val="24"/>
          <w:szCs w:val="24"/>
        </w:rPr>
      </w:pPr>
      <w:r>
        <w:rPr>
          <w:rFonts w:ascii="Arial" w:hAnsi="Arial" w:cs="Arial"/>
          <w:sz w:val="24"/>
          <w:szCs w:val="24"/>
          <w:highlight w:val="darkGray"/>
        </w:rPr>
        <w:t>No caso de o Estudo Técnico Preliminar apontar a necessidade de aquisição de bens ambiental e socialmente sustentáveis (nos termos do previsto no art. 361 do Decreto n.º 10.086, de 2022) deverá ser incluído item que trate da adoção de práticas de sustentabilidade (10.1.10):</w:t>
      </w:r>
    </w:p>
    <w:p w14:paraId="688D79AF">
      <w:pPr>
        <w:spacing w:line="276" w:lineRule="auto"/>
        <w:jc w:val="both"/>
        <w:rPr>
          <w:rFonts w:ascii="Arial" w:hAnsi="Arial" w:cs="Arial"/>
          <w:sz w:val="24"/>
          <w:szCs w:val="24"/>
        </w:rPr>
      </w:pPr>
      <w:r>
        <w:rPr>
          <w:rFonts w:ascii="Arial" w:hAnsi="Arial" w:cs="Arial"/>
          <w:b/>
          <w:bCs/>
          <w:sz w:val="24"/>
          <w:szCs w:val="24"/>
        </w:rPr>
        <w:t>10.1.10</w:t>
      </w:r>
      <w:r>
        <w:rPr>
          <w:rFonts w:ascii="Arial" w:hAnsi="Arial" w:cs="Arial"/>
          <w:sz w:val="24"/>
          <w:szCs w:val="24"/>
        </w:rPr>
        <w:t xml:space="preserve">. Adotar as seguintes práticas de sustentabilidade: </w:t>
      </w:r>
      <w:r>
        <w:rPr>
          <w:rFonts w:ascii="Arial" w:hAnsi="Arial" w:cs="Arial"/>
          <w:sz w:val="24"/>
          <w:szCs w:val="24"/>
          <w:highlight w:val="darkGray"/>
        </w:rPr>
        <w:t>(constar apenas as que se adequam ao objeto, atenção para a numeração do subitem em caso de exclusão de algum(ns) deles)</w:t>
      </w:r>
    </w:p>
    <w:p w14:paraId="072647E4">
      <w:pPr>
        <w:spacing w:line="276" w:lineRule="auto"/>
        <w:jc w:val="both"/>
        <w:rPr>
          <w:rFonts w:ascii="Arial" w:hAnsi="Arial" w:cs="Arial"/>
          <w:sz w:val="24"/>
          <w:szCs w:val="24"/>
        </w:rPr>
      </w:pPr>
      <w:r>
        <w:rPr>
          <w:rFonts w:ascii="Arial" w:hAnsi="Arial" w:cs="Arial"/>
          <w:b/>
          <w:bCs/>
          <w:sz w:val="24"/>
          <w:szCs w:val="24"/>
        </w:rPr>
        <w:t>10.1.10.1</w:t>
      </w:r>
      <w:r>
        <w:rPr>
          <w:rFonts w:ascii="Arial" w:hAnsi="Arial" w:cs="Arial"/>
          <w:sz w:val="24"/>
          <w:szCs w:val="24"/>
        </w:rPr>
        <w:t xml:space="preserve"> Os bens devem ser constituídos, no todo ou em parte, por material reciclado, atóxico, biodegradável, conforme normas específicas da ABNT;</w:t>
      </w:r>
    </w:p>
    <w:p w14:paraId="6550247A">
      <w:pPr>
        <w:spacing w:line="276" w:lineRule="auto"/>
        <w:jc w:val="both"/>
        <w:rPr>
          <w:rFonts w:ascii="Arial" w:hAnsi="Arial" w:cs="Arial"/>
          <w:sz w:val="24"/>
          <w:szCs w:val="24"/>
        </w:rPr>
      </w:pPr>
      <w:r>
        <w:rPr>
          <w:rFonts w:ascii="Arial" w:hAnsi="Arial" w:cs="Arial"/>
          <w:b/>
          <w:bCs/>
          <w:sz w:val="24"/>
          <w:szCs w:val="24"/>
        </w:rPr>
        <w:t>10.1.10.2</w:t>
      </w:r>
      <w:r>
        <w:rPr>
          <w:rFonts w:ascii="Arial" w:hAnsi="Arial" w:cs="Arial"/>
          <w:sz w:val="24"/>
          <w:szCs w:val="24"/>
        </w:rPr>
        <w:t xml:space="preserve"> Observar os requisitos ambientais para a obtenção de certificação do Instituto Nacional de Metrologia, Normalização e Qualidade Industrial – INMETRO, como produtos sustentáveis ou de menor impacto ambiental em relação aos seus similares;</w:t>
      </w:r>
    </w:p>
    <w:p w14:paraId="183135D9">
      <w:pPr>
        <w:spacing w:line="276" w:lineRule="auto"/>
        <w:jc w:val="both"/>
        <w:rPr>
          <w:rFonts w:ascii="Arial" w:hAnsi="Arial" w:cs="Arial"/>
          <w:sz w:val="24"/>
          <w:szCs w:val="24"/>
        </w:rPr>
      </w:pPr>
      <w:r>
        <w:rPr>
          <w:rFonts w:ascii="Arial" w:hAnsi="Arial" w:cs="Arial"/>
          <w:b/>
          <w:bCs/>
          <w:sz w:val="24"/>
          <w:szCs w:val="24"/>
        </w:rPr>
        <w:t>10.1.10.3</w:t>
      </w:r>
      <w:r>
        <w:rPr>
          <w:rFonts w:ascii="Arial" w:hAnsi="Arial" w:cs="Arial"/>
          <w:sz w:val="24"/>
          <w:szCs w:val="24"/>
        </w:rPr>
        <w:t xml:space="preserve"> Os bens deverão ser, preferencialmente, acondicionados em embalagem individual adequada, com o menor volume possível, que utilize materiais recicláveis, de forma a garantir a máxima proteção durante o transporte e o armazenamento;</w:t>
      </w:r>
    </w:p>
    <w:p w14:paraId="68811B8F">
      <w:pPr>
        <w:spacing w:line="276" w:lineRule="auto"/>
        <w:jc w:val="both"/>
        <w:rPr>
          <w:rFonts w:ascii="Arial" w:hAnsi="Arial" w:cs="Arial"/>
          <w:sz w:val="24"/>
          <w:szCs w:val="24"/>
        </w:rPr>
      </w:pPr>
      <w:r>
        <w:rPr>
          <w:rFonts w:ascii="Arial" w:hAnsi="Arial" w:cs="Arial"/>
          <w:b/>
          <w:bCs/>
          <w:sz w:val="24"/>
          <w:szCs w:val="24"/>
        </w:rPr>
        <w:t>10.1.10.4</w:t>
      </w:r>
      <w:r>
        <w:rPr>
          <w:rFonts w:ascii="Arial" w:hAnsi="Arial" w:cs="Arial"/>
          <w:sz w:val="24"/>
          <w:szCs w:val="24"/>
        </w:rPr>
        <w:t xml:space="preserve"> Os bens não conterão substâncias perigosas em concentração acima da recomendada na diretiva RoHS (RestrictionofCertainHazardousSubstances), tais como mercúrio (Hg), chumbo (Pb), cromo hexavalente (Cr(VI)), cádmio (Cd), bifenil-polibromados (PBBs), éteres difenil-polibromados (PBDEs).</w:t>
      </w:r>
    </w:p>
    <w:p w14:paraId="70050237">
      <w:pPr>
        <w:spacing w:line="276" w:lineRule="auto"/>
        <w:jc w:val="both"/>
        <w:rPr>
          <w:rFonts w:ascii="Arial" w:hAnsi="Arial" w:cs="Arial"/>
          <w:sz w:val="24"/>
          <w:szCs w:val="24"/>
        </w:rPr>
      </w:pPr>
      <w:r>
        <w:rPr>
          <w:rFonts w:ascii="Arial" w:hAnsi="Arial" w:cs="Arial"/>
          <w:b/>
          <w:bCs/>
          <w:sz w:val="24"/>
          <w:szCs w:val="24"/>
        </w:rPr>
        <w:t>10.1.10.5</w:t>
      </w:r>
      <w:r>
        <w:rPr>
          <w:rFonts w:ascii="Arial" w:hAnsi="Arial" w:cs="Arial"/>
          <w:sz w:val="24"/>
          <w:szCs w:val="24"/>
        </w:rPr>
        <w:t xml:space="preserve"> ... </w:t>
      </w:r>
      <w:r>
        <w:rPr>
          <w:rFonts w:ascii="Arial" w:hAnsi="Arial" w:cs="Arial"/>
          <w:sz w:val="24"/>
          <w:szCs w:val="24"/>
          <w:highlight w:val="darkGray"/>
        </w:rPr>
        <w:t>(O setor competente poderá incluir novas obrigações de acordo com as especificações do objeto a ser contratado)</w:t>
      </w:r>
    </w:p>
    <w:p w14:paraId="45B5C029">
      <w:pPr>
        <w:spacing w:line="276" w:lineRule="auto"/>
        <w:jc w:val="both"/>
        <w:rPr>
          <w:rFonts w:ascii="Arial" w:hAnsi="Arial" w:cs="Arial"/>
          <w:sz w:val="24"/>
          <w:szCs w:val="24"/>
        </w:rPr>
      </w:pPr>
    </w:p>
    <w:p w14:paraId="17C31D3D">
      <w:pPr>
        <w:spacing w:line="276" w:lineRule="auto"/>
        <w:jc w:val="both"/>
        <w:rPr>
          <w:rFonts w:ascii="Arial" w:hAnsi="Arial" w:cs="Arial"/>
          <w:sz w:val="24"/>
          <w:szCs w:val="24"/>
        </w:rPr>
      </w:pPr>
      <w:r>
        <w:rPr>
          <w:rFonts w:ascii="Arial" w:hAnsi="Arial" w:cs="Arial"/>
          <w:sz w:val="24"/>
          <w:szCs w:val="24"/>
          <w:highlight w:val="darkGray"/>
        </w:rPr>
        <w:t>No caso de o Estudo Técnico Preliminar – ETP apontar a necessidade de o fornecedor se responsabilizar logística reversa deverá ser ajustada a redação com a inclusão dos seguintes itens (10.1.11 e 10.1.12):</w:t>
      </w:r>
    </w:p>
    <w:p w14:paraId="2684EB7E">
      <w:pPr>
        <w:spacing w:line="276" w:lineRule="auto"/>
        <w:jc w:val="both"/>
        <w:rPr>
          <w:rFonts w:ascii="Arial" w:hAnsi="Arial" w:cs="Arial"/>
          <w:sz w:val="24"/>
          <w:szCs w:val="24"/>
        </w:rPr>
      </w:pPr>
    </w:p>
    <w:p w14:paraId="4B81F603">
      <w:pPr>
        <w:spacing w:line="276" w:lineRule="auto"/>
        <w:jc w:val="both"/>
        <w:rPr>
          <w:rFonts w:ascii="Arial" w:hAnsi="Arial" w:cs="Arial"/>
          <w:sz w:val="24"/>
          <w:szCs w:val="24"/>
        </w:rPr>
      </w:pPr>
      <w:r>
        <w:rPr>
          <w:rFonts w:ascii="Arial" w:hAnsi="Arial" w:cs="Arial"/>
          <w:b/>
          <w:bCs/>
          <w:sz w:val="24"/>
          <w:szCs w:val="24"/>
        </w:rPr>
        <w:t>10.1.11</w:t>
      </w:r>
      <w:r>
        <w:rPr>
          <w:rFonts w:ascii="Arial" w:hAnsi="Arial" w:cs="Arial"/>
          <w:sz w:val="24"/>
          <w:szCs w:val="24"/>
        </w:rPr>
        <w:t xml:space="preserve"> adotar práticas de logística reversa dos produtos, embalagens e serviços pós-consumo no limite da proporção que fornecerem ao Poder Público, assumindo a responsabilidade pela destinação final ambientalmente adequada.</w:t>
      </w:r>
    </w:p>
    <w:p w14:paraId="38881E36">
      <w:pPr>
        <w:spacing w:line="276" w:lineRule="auto"/>
        <w:jc w:val="both"/>
        <w:rPr>
          <w:rFonts w:ascii="Arial" w:hAnsi="Arial" w:cs="Arial"/>
          <w:sz w:val="24"/>
          <w:szCs w:val="24"/>
        </w:rPr>
      </w:pPr>
      <w:r>
        <w:rPr>
          <w:rFonts w:ascii="Arial" w:hAnsi="Arial" w:cs="Arial"/>
          <w:b/>
          <w:bCs/>
          <w:sz w:val="24"/>
          <w:szCs w:val="24"/>
        </w:rPr>
        <w:t>10.1.12</w:t>
      </w:r>
      <w:r>
        <w:rPr>
          <w:rFonts w:ascii="Arial" w:hAnsi="Arial" w:cs="Arial"/>
          <w:sz w:val="24"/>
          <w:szCs w:val="24"/>
        </w:rPr>
        <w:t xml:space="preserve"> apresentar declaração de atendimento e responsabilização com a logística reversa dos produtos, embalagens e serviços pós-consumo no limite da proporção que fornecerem ao Poder Público, assumindo a responsabilidade pela destinação final ambientalmente adequada.</w:t>
      </w:r>
    </w:p>
    <w:p w14:paraId="46F0C240">
      <w:pPr>
        <w:pStyle w:val="4"/>
        <w:tabs>
          <w:tab w:val="left" w:pos="2120"/>
        </w:tabs>
        <w:spacing w:after="0" w:line="276" w:lineRule="auto"/>
        <w:jc w:val="both"/>
        <w:rPr>
          <w:rFonts w:ascii="Arial" w:hAnsi="Arial" w:cs="Arial"/>
          <w:sz w:val="24"/>
        </w:rPr>
      </w:pPr>
      <w:r>
        <w:rPr>
          <w:rFonts w:hint="eastAsia" w:ascii="Arial" w:hAnsi="Arial" w:eastAsia="Arial" w:cs="Arial"/>
          <w:b/>
          <w:kern w:val="0"/>
          <w:sz w:val="24"/>
          <w:lang w:eastAsia="zh-CN"/>
        </w:rPr>
        <w:t>10.1.</w:t>
      </w:r>
      <w:r>
        <w:rPr>
          <w:rFonts w:ascii="Arial" w:hAnsi="Arial" w:eastAsia="Arial" w:cs="Arial"/>
          <w:b/>
          <w:kern w:val="0"/>
          <w:sz w:val="24"/>
          <w:lang w:eastAsia="zh-CN"/>
        </w:rPr>
        <w:t>13</w:t>
      </w:r>
      <w:r>
        <w:rPr>
          <w:rFonts w:hint="eastAsia" w:ascii="Arial" w:hAnsi="Arial" w:eastAsia="Arial" w:cs="Arial"/>
          <w:kern w:val="0"/>
          <w:sz w:val="24"/>
          <w:lang w:eastAsia="zh-CN"/>
        </w:rPr>
        <w:t xml:space="preserve"> No momento da assinatura do contrato, o contratado deverá apresentar os seguintes documentos: </w:t>
      </w:r>
      <w:r>
        <w:rPr>
          <w:rFonts w:hint="eastAsia" w:ascii="Arial" w:hAnsi="Arial" w:eastAsia="Arial" w:cs="Arial"/>
          <w:kern w:val="0"/>
          <w:sz w:val="24"/>
          <w:highlight w:val="lightGray"/>
          <w:lang w:eastAsia="zh-CN"/>
        </w:rPr>
        <w:t>.... (O setor competente deverá indicar neste item os documentos que deverão ser apresentados pelo licitante no momento da assinatura do contrato).</w:t>
      </w:r>
    </w:p>
    <w:p w14:paraId="30C115B0">
      <w:pPr>
        <w:spacing w:line="276" w:lineRule="auto"/>
        <w:jc w:val="both"/>
        <w:rPr>
          <w:rFonts w:ascii="Arial" w:hAnsi="Arial" w:cs="Arial"/>
          <w:sz w:val="24"/>
          <w:szCs w:val="24"/>
        </w:rPr>
      </w:pPr>
      <w:r>
        <w:rPr>
          <w:rFonts w:ascii="Arial" w:hAnsi="Arial" w:cs="Arial"/>
          <w:b/>
          <w:bCs/>
          <w:sz w:val="24"/>
          <w:szCs w:val="24"/>
          <w:highlight w:val="darkGray"/>
        </w:rPr>
        <w:t>10.1.14</w:t>
      </w:r>
      <w:r>
        <w:rPr>
          <w:rFonts w:ascii="Arial" w:hAnsi="Arial" w:cs="Arial"/>
          <w:sz w:val="24"/>
          <w:szCs w:val="24"/>
        </w:rPr>
        <w:t xml:space="preserve"> … </w:t>
      </w:r>
      <w:r>
        <w:rPr>
          <w:rFonts w:ascii="Arial" w:hAnsi="Arial" w:cs="Arial"/>
          <w:sz w:val="24"/>
          <w:szCs w:val="24"/>
          <w:highlight w:val="darkGray"/>
        </w:rPr>
        <w:t>(O setor competente poderá incluir novas obrigações de acordo com as especificações do objeto a ser contratado)</w:t>
      </w:r>
    </w:p>
    <w:p w14:paraId="5C8314D8">
      <w:pPr>
        <w:spacing w:line="276" w:lineRule="auto"/>
        <w:jc w:val="both"/>
        <w:rPr>
          <w:rFonts w:ascii="Arial" w:hAnsi="Arial" w:cs="Arial"/>
          <w:sz w:val="24"/>
          <w:szCs w:val="24"/>
        </w:rPr>
      </w:pPr>
      <w:r>
        <w:rPr>
          <w:rFonts w:ascii="Arial" w:hAnsi="Arial" w:cs="Arial"/>
          <w:b/>
          <w:bCs/>
          <w:sz w:val="24"/>
          <w:szCs w:val="24"/>
        </w:rPr>
        <w:t>10.2</w:t>
      </w:r>
      <w:r>
        <w:rPr>
          <w:rFonts w:ascii="Arial" w:hAnsi="Arial" w:cs="Arial"/>
          <w:sz w:val="24"/>
          <w:szCs w:val="24"/>
        </w:rPr>
        <w:t xml:space="preserve"> São obrigações do Contratante:</w:t>
      </w:r>
    </w:p>
    <w:p w14:paraId="76BD6210">
      <w:pPr>
        <w:spacing w:line="276" w:lineRule="auto"/>
        <w:jc w:val="both"/>
        <w:rPr>
          <w:rFonts w:ascii="Arial" w:hAnsi="Arial" w:cs="Arial"/>
          <w:sz w:val="24"/>
          <w:szCs w:val="24"/>
        </w:rPr>
      </w:pPr>
      <w:r>
        <w:rPr>
          <w:rFonts w:ascii="Arial" w:hAnsi="Arial" w:cs="Arial"/>
          <w:b/>
          <w:bCs/>
          <w:sz w:val="24"/>
          <w:szCs w:val="24"/>
        </w:rPr>
        <w:t>10.2.1</w:t>
      </w:r>
      <w:r>
        <w:rPr>
          <w:rFonts w:ascii="Arial" w:hAnsi="Arial" w:cs="Arial"/>
          <w:sz w:val="24"/>
          <w:szCs w:val="24"/>
        </w:rPr>
        <w:t xml:space="preserve"> receber o objeto no prazo e condições estabelecidas neste edital e seus anexos;</w:t>
      </w:r>
    </w:p>
    <w:p w14:paraId="5C952694">
      <w:pPr>
        <w:spacing w:line="276" w:lineRule="auto"/>
        <w:jc w:val="both"/>
        <w:rPr>
          <w:rFonts w:ascii="Arial" w:hAnsi="Arial" w:cs="Arial"/>
          <w:sz w:val="24"/>
          <w:szCs w:val="24"/>
        </w:rPr>
      </w:pPr>
      <w:r>
        <w:rPr>
          <w:rFonts w:ascii="Arial" w:hAnsi="Arial" w:cs="Arial"/>
          <w:b/>
          <w:bCs/>
          <w:sz w:val="24"/>
          <w:szCs w:val="24"/>
        </w:rPr>
        <w:t>10.2.2</w:t>
      </w:r>
      <w:r>
        <w:rPr>
          <w:rFonts w:ascii="Arial" w:hAnsi="Arial" w:cs="Arial"/>
          <w:sz w:val="24"/>
          <w:szCs w:val="24"/>
        </w:rPr>
        <w:t xml:space="preserve"> exigir o cumprimento de todas as obrigações assumidas pelo Contratado, de acordo com as cláusulas contratuais e os termos de sua proposta;</w:t>
      </w:r>
    </w:p>
    <w:p w14:paraId="63F165E2">
      <w:pPr>
        <w:spacing w:line="276" w:lineRule="auto"/>
        <w:jc w:val="both"/>
        <w:rPr>
          <w:rFonts w:ascii="Arial" w:hAnsi="Arial" w:cs="Arial"/>
          <w:sz w:val="24"/>
          <w:szCs w:val="24"/>
        </w:rPr>
      </w:pPr>
      <w:r>
        <w:rPr>
          <w:rFonts w:ascii="Arial" w:hAnsi="Arial" w:cs="Arial"/>
          <w:b/>
          <w:bCs/>
          <w:sz w:val="24"/>
          <w:szCs w:val="24"/>
        </w:rPr>
        <w:t>10.2.3</w:t>
      </w:r>
      <w:r>
        <w:rPr>
          <w:rFonts w:ascii="Arial" w:hAnsi="Arial" w:cs="Arial"/>
          <w:sz w:val="24"/>
          <w:szCs w:val="24"/>
        </w:rPr>
        <w:t xml:space="preserve"> verificar minuciosamente, no prazo fixado, a conformidade do objeto recebido provisoriamente, com as especificações constantes do edital e da proposta, para fins de aceitação e recebimento definitivo;</w:t>
      </w:r>
    </w:p>
    <w:p w14:paraId="63DEF928">
      <w:pPr>
        <w:spacing w:line="276" w:lineRule="auto"/>
        <w:jc w:val="both"/>
        <w:rPr>
          <w:rFonts w:ascii="Arial" w:hAnsi="Arial" w:cs="Arial"/>
          <w:sz w:val="24"/>
          <w:szCs w:val="24"/>
        </w:rPr>
      </w:pPr>
      <w:r>
        <w:rPr>
          <w:rFonts w:ascii="Arial" w:hAnsi="Arial" w:cs="Arial"/>
          <w:b/>
          <w:bCs/>
          <w:sz w:val="24"/>
          <w:szCs w:val="24"/>
        </w:rPr>
        <w:t>10.2.4</w:t>
      </w:r>
      <w:r>
        <w:rPr>
          <w:rFonts w:ascii="Arial" w:hAnsi="Arial" w:cs="Arial"/>
          <w:sz w:val="24"/>
          <w:szCs w:val="24"/>
        </w:rPr>
        <w:t xml:space="preserve"> comunicar ao Contratado, por escrito, as imperfeições, falhas ou irregularidades verificadas, fixando prazo para a sua correção;</w:t>
      </w:r>
    </w:p>
    <w:p w14:paraId="66024C1A">
      <w:pPr>
        <w:spacing w:line="276" w:lineRule="auto"/>
        <w:jc w:val="both"/>
        <w:rPr>
          <w:rFonts w:ascii="Arial" w:hAnsi="Arial" w:cs="Arial"/>
          <w:sz w:val="24"/>
          <w:szCs w:val="24"/>
        </w:rPr>
      </w:pPr>
      <w:r>
        <w:rPr>
          <w:rFonts w:ascii="Arial" w:hAnsi="Arial" w:cs="Arial"/>
          <w:b/>
          <w:bCs/>
          <w:sz w:val="24"/>
          <w:szCs w:val="24"/>
        </w:rPr>
        <w:t>10.2.5</w:t>
      </w:r>
      <w:r>
        <w:rPr>
          <w:rFonts w:ascii="Arial" w:hAnsi="Arial" w:cs="Arial"/>
          <w:sz w:val="24"/>
          <w:szCs w:val="24"/>
        </w:rPr>
        <w:t xml:space="preserve"> acompanhar e fiscalizar o cumprimento das obrigações do Contratado, através de comissão ou de servidores especialmente designados;</w:t>
      </w:r>
    </w:p>
    <w:p w14:paraId="001BBE74">
      <w:pPr>
        <w:spacing w:line="276" w:lineRule="auto"/>
        <w:jc w:val="both"/>
        <w:rPr>
          <w:rFonts w:ascii="Arial" w:hAnsi="Arial" w:cs="Arial"/>
          <w:sz w:val="24"/>
          <w:szCs w:val="24"/>
        </w:rPr>
      </w:pPr>
      <w:r>
        <w:rPr>
          <w:rFonts w:ascii="Arial" w:hAnsi="Arial" w:cs="Arial"/>
          <w:b/>
          <w:bCs/>
          <w:sz w:val="24"/>
          <w:szCs w:val="24"/>
        </w:rPr>
        <w:t>10.2.6</w:t>
      </w:r>
      <w:r>
        <w:rPr>
          <w:rFonts w:ascii="Arial" w:hAnsi="Arial" w:cs="Arial"/>
          <w:sz w:val="24"/>
          <w:szCs w:val="24"/>
        </w:rPr>
        <w:t xml:space="preserve"> efetuar o pagamento ao Contratado no valor correspondente ao fornecimento do objeto, no prazo e forma estabelecidos neste edital e seus anexos;</w:t>
      </w:r>
    </w:p>
    <w:p w14:paraId="4B5394E1">
      <w:pPr>
        <w:spacing w:line="276" w:lineRule="auto"/>
        <w:jc w:val="both"/>
        <w:rPr>
          <w:rFonts w:ascii="Arial" w:hAnsi="Arial" w:cs="Arial"/>
          <w:sz w:val="24"/>
          <w:szCs w:val="24"/>
        </w:rPr>
      </w:pPr>
      <w:r>
        <w:rPr>
          <w:rFonts w:ascii="Arial" w:hAnsi="Arial" w:cs="Arial"/>
          <w:b/>
          <w:bCs/>
          <w:sz w:val="24"/>
          <w:szCs w:val="24"/>
        </w:rPr>
        <w:t>10.2.7</w:t>
      </w:r>
      <w:r>
        <w:rPr>
          <w:rFonts w:ascii="Arial" w:hAnsi="Arial" w:cs="Arial"/>
          <w:sz w:val="24"/>
          <w:szCs w:val="24"/>
        </w:rPr>
        <w:t xml:space="preserve"> efetuar as eventuais retenções tributárias devidas sobre o valor da nota fiscal e fatura fornecida pelo Contratado, no que couber;</w:t>
      </w:r>
    </w:p>
    <w:p w14:paraId="3702D0AA">
      <w:pPr>
        <w:spacing w:line="276" w:lineRule="auto"/>
        <w:jc w:val="both"/>
        <w:rPr>
          <w:rFonts w:ascii="Arial" w:hAnsi="Arial" w:cs="Arial"/>
          <w:sz w:val="24"/>
          <w:szCs w:val="24"/>
        </w:rPr>
      </w:pPr>
      <w:r>
        <w:rPr>
          <w:rFonts w:ascii="Arial" w:hAnsi="Arial" w:cs="Arial"/>
          <w:b/>
          <w:bCs/>
          <w:sz w:val="24"/>
          <w:szCs w:val="24"/>
        </w:rPr>
        <w:t>10.2.8</w:t>
      </w:r>
      <w:r>
        <w:rPr>
          <w:rFonts w:ascii="Arial" w:hAnsi="Arial" w:cs="Arial"/>
          <w:sz w:val="24"/>
          <w:szCs w:val="24"/>
        </w:rPr>
        <w:t xml:space="preserve"> emitir decisão sobre as solicitações e reclamações relacionadas à execução do contrato, ressalvados requerimentos manifestamente impertinentes, meramente protelatórios ou de nenhum interesse para a boa execução do contrato;</w:t>
      </w:r>
    </w:p>
    <w:p w14:paraId="2311C5DA">
      <w:pPr>
        <w:spacing w:line="276" w:lineRule="auto"/>
        <w:jc w:val="both"/>
        <w:rPr>
          <w:rFonts w:ascii="Arial" w:hAnsi="Arial" w:cs="Arial"/>
          <w:sz w:val="24"/>
          <w:szCs w:val="24"/>
        </w:rPr>
      </w:pPr>
      <w:r>
        <w:rPr>
          <w:rFonts w:ascii="Arial" w:hAnsi="Arial" w:cs="Arial"/>
          <w:b/>
          <w:bCs/>
          <w:sz w:val="24"/>
          <w:szCs w:val="24"/>
        </w:rPr>
        <w:t>10.2.9</w:t>
      </w:r>
      <w:r>
        <w:rPr>
          <w:rFonts w:ascii="Arial" w:hAnsi="Arial" w:cs="Arial"/>
          <w:sz w:val="24"/>
          <w:szCs w:val="24"/>
        </w:rPr>
        <w:t xml:space="preserve"> ressarcir o contratado, nos casos de extinção de contrato por culpa exclusiva da Administração, pelos prejuízos regularmente comprovados que houver sofrido, além de devolver a garantia, quando houver, e efetuar os pagamentos devidos pela execução do contrato até a data de extinção e pelo custo de eventual desmobilização;</w:t>
      </w:r>
    </w:p>
    <w:p w14:paraId="175A885A">
      <w:pPr>
        <w:spacing w:line="276" w:lineRule="auto"/>
        <w:jc w:val="both"/>
        <w:rPr>
          <w:rFonts w:ascii="Arial" w:hAnsi="Arial" w:cs="Arial"/>
          <w:sz w:val="24"/>
          <w:szCs w:val="24"/>
        </w:rPr>
      </w:pPr>
      <w:r>
        <w:rPr>
          <w:rFonts w:ascii="Arial" w:hAnsi="Arial" w:cs="Arial"/>
          <w:b/>
          <w:bCs/>
          <w:sz w:val="24"/>
          <w:szCs w:val="24"/>
        </w:rPr>
        <w:t>10.2.10</w:t>
      </w:r>
      <w:r>
        <w:rPr>
          <w:rFonts w:ascii="Arial" w:hAnsi="Arial" w:cs="Arial"/>
          <w:sz w:val="24"/>
          <w:szCs w:val="24"/>
        </w:rP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33015538">
      <w:pPr>
        <w:spacing w:line="276" w:lineRule="auto"/>
        <w:jc w:val="both"/>
        <w:rPr>
          <w:rFonts w:ascii="Arial" w:hAnsi="Arial" w:cs="Arial"/>
          <w:sz w:val="24"/>
          <w:szCs w:val="24"/>
        </w:rPr>
      </w:pPr>
      <w:r>
        <w:rPr>
          <w:rFonts w:ascii="Arial" w:hAnsi="Arial" w:cs="Arial"/>
          <w:b/>
          <w:bCs/>
          <w:sz w:val="24"/>
          <w:szCs w:val="24"/>
        </w:rPr>
        <w:t>10.2.11</w:t>
      </w:r>
      <w:r>
        <w:rPr>
          <w:rFonts w:ascii="Arial" w:hAnsi="Arial" w:cs="Arial"/>
          <w:sz w:val="24"/>
          <w:szCs w:val="24"/>
        </w:rPr>
        <w:t xml:space="preserve"> prestar as informações e os esclarecimentos que venham a ser solicitados pelo Contratado.</w:t>
      </w:r>
    </w:p>
    <w:p w14:paraId="066E1DB2">
      <w:pPr>
        <w:spacing w:line="276" w:lineRule="auto"/>
        <w:jc w:val="both"/>
        <w:rPr>
          <w:rFonts w:ascii="Arial" w:hAnsi="Arial" w:cs="Arial"/>
          <w:sz w:val="24"/>
          <w:szCs w:val="24"/>
        </w:rPr>
      </w:pPr>
      <w:r>
        <w:rPr>
          <w:rFonts w:ascii="Arial" w:hAnsi="Arial" w:cs="Arial"/>
          <w:b/>
          <w:bCs/>
          <w:sz w:val="24"/>
          <w:szCs w:val="24"/>
        </w:rPr>
        <w:t>10.2.12</w:t>
      </w:r>
      <w:r>
        <w:rPr>
          <w:rFonts w:ascii="Arial" w:hAnsi="Arial" w:cs="Arial"/>
          <w:sz w:val="24"/>
          <w:szCs w:val="24"/>
        </w:rPr>
        <w:t xml:space="preserve"> ... </w:t>
      </w:r>
      <w:r>
        <w:rPr>
          <w:rFonts w:ascii="Arial" w:hAnsi="Arial" w:cs="Arial"/>
          <w:sz w:val="24"/>
          <w:szCs w:val="24"/>
          <w:highlight w:val="darkGray"/>
        </w:rPr>
        <w:t>(O setor competente poderá incluir novas obrigações de acordo com as especificações do objeto a ser contratado)</w:t>
      </w:r>
    </w:p>
    <w:p w14:paraId="7ABFC08C">
      <w:pPr>
        <w:spacing w:line="276" w:lineRule="auto"/>
        <w:jc w:val="both"/>
        <w:rPr>
          <w:rFonts w:ascii="Arial" w:hAnsi="Arial" w:cs="Arial"/>
          <w:sz w:val="24"/>
          <w:szCs w:val="24"/>
        </w:rPr>
      </w:pPr>
    </w:p>
    <w:p w14:paraId="52CAC024">
      <w:pPr>
        <w:spacing w:line="276" w:lineRule="auto"/>
        <w:jc w:val="both"/>
        <w:rPr>
          <w:rFonts w:ascii="Arial" w:hAnsi="Arial" w:cs="Arial"/>
          <w:sz w:val="24"/>
          <w:szCs w:val="24"/>
        </w:rPr>
      </w:pPr>
    </w:p>
    <w:p w14:paraId="16FDA9B7">
      <w:pPr>
        <w:spacing w:after="0" w:line="276" w:lineRule="auto"/>
        <w:jc w:val="both"/>
        <w:rPr>
          <w:rFonts w:ascii="Arial" w:hAnsi="Arial" w:cs="Arial"/>
          <w:b/>
          <w:bCs/>
          <w:sz w:val="24"/>
          <w:szCs w:val="24"/>
        </w:rPr>
      </w:pPr>
      <w:r>
        <w:rPr>
          <w:rFonts w:ascii="Arial" w:hAnsi="Arial" w:cs="Arial"/>
          <w:b/>
          <w:bCs/>
          <w:sz w:val="24"/>
          <w:szCs w:val="24"/>
        </w:rPr>
        <w:t>11. FORMA DE PAGAMENTO</w:t>
      </w:r>
    </w:p>
    <w:p w14:paraId="0776DD1A">
      <w:pPr>
        <w:spacing w:after="0" w:line="276" w:lineRule="auto"/>
        <w:jc w:val="both"/>
        <w:rPr>
          <w:rFonts w:ascii="Arial" w:hAnsi="Arial" w:cs="Arial"/>
          <w:sz w:val="24"/>
          <w:szCs w:val="24"/>
        </w:rPr>
      </w:pPr>
    </w:p>
    <w:p w14:paraId="111BD7DF">
      <w:pPr>
        <w:spacing w:line="276" w:lineRule="auto"/>
        <w:jc w:val="both"/>
        <w:rPr>
          <w:rFonts w:ascii="Arial" w:hAnsi="Arial" w:cs="Arial"/>
          <w:sz w:val="24"/>
          <w:szCs w:val="24"/>
        </w:rPr>
      </w:pPr>
      <w:r>
        <w:rPr>
          <w:rFonts w:ascii="Arial" w:hAnsi="Arial" w:cs="Arial"/>
          <w:b/>
          <w:bCs/>
          <w:sz w:val="24"/>
          <w:szCs w:val="24"/>
        </w:rPr>
        <w:t>11.1</w:t>
      </w:r>
      <w:r>
        <w:rPr>
          <w:rFonts w:ascii="Arial" w:hAnsi="Arial" w:cs="Arial"/>
          <w:sz w:val="24"/>
          <w:szCs w:val="24"/>
        </w:rPr>
        <w:t xml:space="preserve"> O pagamento de cada fatura deverá ser realizada em um prazo não superior a 30 (trinta) dias contados a partir do atesto da Nota Fiscal, após comprovado o adimplemento do Contratado em todas as suas obrigações, já deduzidas as glosas e notas de débitos e mediante verificação do Certificado de Regularidade Fiscal (CRF), emitido por meio do Sistema de Gestão de Materiais, Obras e Serviços – GMS, destinado a comprovar a regularidade com os Fiscos Federal, Estadual (inclusive do Estado do Paraná paro licitantes sediados em outro Estado da Federação) e Municipal, com o FGTS, INSS e negativa de débitos trabalhistas (CNDT), observadas as disposições do Termo de Referência.</w:t>
      </w:r>
    </w:p>
    <w:p w14:paraId="1E4CD6FC">
      <w:pPr>
        <w:spacing w:line="276" w:lineRule="auto"/>
        <w:jc w:val="both"/>
        <w:rPr>
          <w:rFonts w:ascii="Arial" w:hAnsi="Arial" w:cs="Arial"/>
          <w:sz w:val="24"/>
          <w:szCs w:val="24"/>
        </w:rPr>
      </w:pPr>
      <w:r>
        <w:rPr>
          <w:rFonts w:ascii="Arial" w:hAnsi="Arial" w:cs="Arial"/>
          <w:b/>
          <w:bCs/>
          <w:sz w:val="24"/>
          <w:szCs w:val="24"/>
        </w:rPr>
        <w:t>11.2</w:t>
      </w:r>
      <w:r>
        <w:rPr>
          <w:rFonts w:ascii="Arial" w:hAnsi="Arial" w:cs="Arial"/>
          <w:sz w:val="24"/>
          <w:szCs w:val="24"/>
        </w:rPr>
        <w:t xml:space="preserve"> Nenhum pagamento será efetuado sem a apresentação dos documentos exigidos, bem como enquanto não forem sanadas irregularidades eventualmente constatadas na nota fiscal, no fornecimento dos bens ou no cumprimento de obrigações contratuais.</w:t>
      </w:r>
    </w:p>
    <w:p w14:paraId="62BB7422">
      <w:pPr>
        <w:spacing w:line="276" w:lineRule="auto"/>
        <w:jc w:val="both"/>
        <w:rPr>
          <w:rFonts w:ascii="Arial" w:hAnsi="Arial" w:cs="Arial"/>
          <w:sz w:val="24"/>
          <w:szCs w:val="24"/>
        </w:rPr>
      </w:pPr>
      <w:r>
        <w:rPr>
          <w:rFonts w:ascii="Arial" w:hAnsi="Arial" w:cs="Arial"/>
          <w:b/>
          <w:bCs/>
          <w:sz w:val="24"/>
          <w:szCs w:val="24"/>
        </w:rPr>
        <w:t>11.2.1</w:t>
      </w:r>
      <w:r>
        <w:rPr>
          <w:rFonts w:ascii="Arial" w:hAnsi="Arial" w:cs="Arial"/>
          <w:sz w:val="24"/>
          <w:szCs w:val="24"/>
        </w:rPr>
        <w:t xml:space="preserve"> Os pagamentos ficarão condicionados à prévia informação pelo credor, dos dados da conta-corrente junto à instituição financeiro Contratado pelo Estado, conforme o disposto no Decreto n.º 4.505, de 2016, ressalvadas as exceções previstas no mesmo diploma legal.</w:t>
      </w:r>
    </w:p>
    <w:p w14:paraId="5A5DDD84">
      <w:pPr>
        <w:spacing w:line="276" w:lineRule="auto"/>
        <w:jc w:val="both"/>
        <w:rPr>
          <w:rFonts w:ascii="Arial" w:hAnsi="Arial" w:cs="Arial"/>
          <w:sz w:val="24"/>
          <w:szCs w:val="24"/>
        </w:rPr>
      </w:pPr>
      <w:r>
        <w:rPr>
          <w:rFonts w:ascii="Arial" w:hAnsi="Arial" w:cs="Arial"/>
          <w:b/>
          <w:bCs/>
          <w:sz w:val="24"/>
          <w:szCs w:val="24"/>
        </w:rPr>
        <w:t>11.3</w:t>
      </w:r>
      <w:r>
        <w:rPr>
          <w:rFonts w:ascii="Arial" w:hAnsi="Arial" w:cs="Arial"/>
          <w:sz w:val="24"/>
          <w:szCs w:val="24"/>
        </w:rPr>
        <w:t xml:space="preserve"> O prazo estabelecido no item 11.1 ficará suspenso na hipótese prevista no item 12.4.1 das Condições Gerais do Pregão, ou do previsto no Aviso de Dispensa.</w:t>
      </w:r>
    </w:p>
    <w:p w14:paraId="56E1033B">
      <w:pPr>
        <w:spacing w:line="276" w:lineRule="auto"/>
        <w:jc w:val="both"/>
        <w:rPr>
          <w:rFonts w:ascii="Arial" w:hAnsi="Arial" w:cs="Arial"/>
          <w:sz w:val="24"/>
          <w:szCs w:val="24"/>
        </w:rPr>
      </w:pPr>
      <w:r>
        <w:rPr>
          <w:rFonts w:ascii="Arial" w:hAnsi="Arial" w:cs="Arial"/>
          <w:b/>
          <w:bCs/>
          <w:sz w:val="24"/>
          <w:szCs w:val="24"/>
        </w:rPr>
        <w:t>11.3.1</w:t>
      </w:r>
      <w:r>
        <w:rPr>
          <w:rFonts w:ascii="Arial" w:hAnsi="Arial" w:cs="Arial"/>
          <w:sz w:val="24"/>
          <w:szCs w:val="24"/>
        </w:rPr>
        <w:t xml:space="preserve"> Decorrido o prazo de adimplemento da multa, caso esta não tenha sido paga, os valores serão descontados da fatura apresentada.</w:t>
      </w:r>
    </w:p>
    <w:p w14:paraId="35E6F001">
      <w:pPr>
        <w:spacing w:line="276" w:lineRule="auto"/>
        <w:jc w:val="both"/>
        <w:rPr>
          <w:rFonts w:ascii="Arial" w:hAnsi="Arial" w:cs="Arial"/>
          <w:sz w:val="24"/>
          <w:szCs w:val="24"/>
        </w:rPr>
      </w:pPr>
      <w:r>
        <w:rPr>
          <w:rFonts w:ascii="Arial" w:hAnsi="Arial" w:cs="Arial"/>
          <w:b/>
          <w:bCs/>
          <w:sz w:val="24"/>
          <w:szCs w:val="24"/>
        </w:rPr>
        <w:t>11.4</w:t>
      </w:r>
      <w:r>
        <w:rPr>
          <w:rFonts w:ascii="Arial" w:hAnsi="Arial" w:cs="Arial"/>
          <w:sz w:val="24"/>
          <w:szCs w:val="24"/>
        </w:rPr>
        <w:t xml:space="preserve"> As notas fiscais devem ser emitidas em nome da UNIVERSIDADE ESTADUAL DE MARINGÁ - CNPJ 79.151.312/0001-56 e/ou outra dotação/CNPJ conforme indicação da Nota de Empenho / Ordem de Fornecimento; constando número da licitação/dispensa/inexigibilidade .</w:t>
      </w:r>
    </w:p>
    <w:p w14:paraId="05E2CB4B">
      <w:pPr>
        <w:spacing w:line="276" w:lineRule="auto"/>
        <w:jc w:val="both"/>
        <w:rPr>
          <w:rFonts w:ascii="Arial" w:hAnsi="Arial" w:cs="Arial"/>
          <w:sz w:val="24"/>
          <w:szCs w:val="24"/>
        </w:rPr>
      </w:pPr>
      <w:r>
        <w:rPr>
          <w:rFonts w:ascii="Arial" w:hAnsi="Arial" w:cs="Arial"/>
          <w:b/>
          <w:bCs/>
          <w:sz w:val="24"/>
          <w:szCs w:val="24"/>
        </w:rPr>
        <w:t>11.5</w:t>
      </w:r>
      <w:r>
        <w:rPr>
          <w:rFonts w:ascii="Arial" w:hAnsi="Arial" w:cs="Arial"/>
          <w:sz w:val="24"/>
          <w:szCs w:val="24"/>
        </w:rPr>
        <w:t xml:space="preserve"> Nos casos de eventuais atrasos de pagamento, desde que o Contratado não tenha concorrido, de alguma forma, para tanto, fica convencionado que a taxa de compensação financeira devida pela Contratante, entre a data do vencimento e o efetivo adimplemento da parcela, é calculada mediante a aplicação da seguinte fórmula:</w:t>
      </w:r>
    </w:p>
    <w:p w14:paraId="3430290E">
      <w:pPr>
        <w:spacing w:after="0" w:line="276" w:lineRule="auto"/>
        <w:jc w:val="both"/>
        <w:rPr>
          <w:rFonts w:ascii="Arial" w:hAnsi="Arial" w:cs="Arial"/>
          <w:sz w:val="24"/>
          <w:szCs w:val="24"/>
        </w:rPr>
      </w:pPr>
    </w:p>
    <w:p w14:paraId="5609B2EF">
      <w:pPr>
        <w:spacing w:line="276" w:lineRule="auto"/>
        <w:jc w:val="both"/>
        <w:rPr>
          <w:rFonts w:ascii="Arial" w:hAnsi="Arial" w:cs="Arial"/>
          <w:sz w:val="24"/>
          <w:szCs w:val="24"/>
        </w:rPr>
      </w:pPr>
      <w:r>
        <w:rPr>
          <w:rFonts w:ascii="Arial" w:hAnsi="Arial" w:cs="Arial"/>
          <w:sz w:val="24"/>
          <w:szCs w:val="24"/>
        </w:rPr>
        <w:t>EM = I x N x VP, sendo:</w:t>
      </w:r>
    </w:p>
    <w:p w14:paraId="5E98E528">
      <w:pPr>
        <w:spacing w:line="276" w:lineRule="auto"/>
        <w:jc w:val="both"/>
        <w:rPr>
          <w:rFonts w:ascii="Arial" w:hAnsi="Arial" w:cs="Arial"/>
          <w:sz w:val="24"/>
          <w:szCs w:val="24"/>
        </w:rPr>
      </w:pPr>
      <w:r>
        <w:rPr>
          <w:rFonts w:ascii="Arial" w:hAnsi="Arial" w:cs="Arial"/>
          <w:sz w:val="24"/>
          <w:szCs w:val="24"/>
        </w:rPr>
        <w:t>EM = Encargos moratórios;</w:t>
      </w:r>
    </w:p>
    <w:p w14:paraId="4A08AF3E">
      <w:pPr>
        <w:spacing w:line="276" w:lineRule="auto"/>
        <w:jc w:val="both"/>
        <w:rPr>
          <w:rFonts w:ascii="Arial" w:hAnsi="Arial" w:cs="Arial"/>
          <w:sz w:val="24"/>
          <w:szCs w:val="24"/>
        </w:rPr>
      </w:pPr>
      <w:r>
        <w:rPr>
          <w:rFonts w:ascii="Arial" w:hAnsi="Arial" w:cs="Arial"/>
          <w:sz w:val="24"/>
          <w:szCs w:val="24"/>
        </w:rPr>
        <w:t>N = Número de dias entre a data prevista para o pagamento e a do efetivo pagamento;</w:t>
      </w:r>
    </w:p>
    <w:p w14:paraId="2644FEEB">
      <w:pPr>
        <w:spacing w:line="276" w:lineRule="auto"/>
        <w:jc w:val="both"/>
        <w:rPr>
          <w:rFonts w:ascii="Arial" w:hAnsi="Arial" w:cs="Arial"/>
          <w:sz w:val="24"/>
          <w:szCs w:val="24"/>
        </w:rPr>
      </w:pPr>
      <w:r>
        <w:rPr>
          <w:rFonts w:ascii="Arial" w:hAnsi="Arial" w:cs="Arial"/>
          <w:sz w:val="24"/>
          <w:szCs w:val="24"/>
        </w:rPr>
        <w:t>VP = Valor da parcela a ser paga.</w:t>
      </w:r>
    </w:p>
    <w:p w14:paraId="3A7D48B2">
      <w:pPr>
        <w:rPr>
          <w:rFonts w:ascii="Arial" w:hAnsi="Arial" w:eastAsia="Arial" w:cs="Arial"/>
          <w:sz w:val="24"/>
          <w:szCs w:val="24"/>
        </w:rPr>
      </w:pPr>
      <w:r>
        <w:rPr>
          <w:rFonts w:ascii="Arial" w:hAnsi="Arial" w:eastAsia="Arial" w:cs="Arial"/>
          <w:sz w:val="24"/>
          <w:szCs w:val="24"/>
        </w:rPr>
        <w:t>I = Índice de compensação financeira = 0,00016438, assim apurado:</w:t>
      </w:r>
    </w:p>
    <w:tbl>
      <w:tblPr>
        <w:tblStyle w:val="3"/>
        <w:tblW w:w="7388" w:type="dxa"/>
        <w:tblInd w:w="-80" w:type="dxa"/>
        <w:tblLayout w:type="fixed"/>
        <w:tblCellMar>
          <w:top w:w="0" w:type="dxa"/>
          <w:left w:w="108" w:type="dxa"/>
          <w:bottom w:w="0" w:type="dxa"/>
          <w:right w:w="108" w:type="dxa"/>
        </w:tblCellMar>
      </w:tblPr>
      <w:tblGrid>
        <w:gridCol w:w="1362"/>
        <w:gridCol w:w="2163"/>
        <w:gridCol w:w="3863"/>
      </w:tblGrid>
      <w:tr w14:paraId="6829A3BA">
        <w:tblPrEx>
          <w:tblCellMar>
            <w:top w:w="0" w:type="dxa"/>
            <w:left w:w="108" w:type="dxa"/>
            <w:bottom w:w="0" w:type="dxa"/>
            <w:right w:w="108" w:type="dxa"/>
          </w:tblCellMar>
        </w:tblPrEx>
        <w:trPr>
          <w:cantSplit/>
          <w:trHeight w:val="716" w:hRule="atLeast"/>
          <w:tblHeader/>
        </w:trPr>
        <w:tc>
          <w:tcPr>
            <w:tcW w:w="1362" w:type="dxa"/>
            <w:vAlign w:val="center"/>
          </w:tcPr>
          <w:p w14:paraId="7F1DA894">
            <w:pPr>
              <w:rPr>
                <w:rFonts w:ascii="Arial" w:hAnsi="Arial" w:eastAsia="Liberation Serif" w:cs="Arial"/>
                <w:sz w:val="24"/>
                <w:szCs w:val="24"/>
              </w:rPr>
            </w:pPr>
            <w:r>
              <w:rPr>
                <w:rFonts w:ascii="Arial" w:hAnsi="Arial" w:eastAsia="Arial" w:cs="Arial"/>
                <w:sz w:val="24"/>
                <w:szCs w:val="24"/>
              </w:rPr>
              <w:t>I = (TX)</w:t>
            </w:r>
          </w:p>
          <w:p w14:paraId="4EBBF236">
            <w:pPr>
              <w:rPr>
                <w:rFonts w:ascii="Arial" w:hAnsi="Arial" w:eastAsia="Arial" w:cs="Arial"/>
                <w:sz w:val="24"/>
                <w:szCs w:val="24"/>
              </w:rPr>
            </w:pPr>
          </w:p>
        </w:tc>
        <w:tc>
          <w:tcPr>
            <w:tcW w:w="2163" w:type="dxa"/>
            <w:vAlign w:val="center"/>
          </w:tcPr>
          <w:p w14:paraId="187A9ACE">
            <w:pPr>
              <w:rPr>
                <w:rFonts w:ascii="Arial" w:hAnsi="Arial" w:eastAsia="Arial" w:cs="Arial"/>
                <w:sz w:val="24"/>
                <w:szCs w:val="24"/>
              </w:rPr>
            </w:pPr>
          </w:p>
          <w:p w14:paraId="4E8DFA26">
            <w:pPr>
              <w:rPr>
                <w:rFonts w:ascii="Arial" w:hAnsi="Arial" w:eastAsia="Liberation Serif" w:cs="Arial"/>
                <w:sz w:val="24"/>
                <w:szCs w:val="24"/>
              </w:rPr>
            </w:pPr>
            <w:r>
              <w:rPr>
                <w:rFonts w:ascii="Arial" w:hAnsi="Arial" w:eastAsia="Arial" w:cs="Arial"/>
                <w:sz w:val="24"/>
                <w:szCs w:val="24"/>
              </w:rPr>
              <w:t>I = (6/100)</w:t>
            </w:r>
          </w:p>
          <w:p w14:paraId="733BCD4F">
            <w:pPr>
              <w:rPr>
                <w:rFonts w:ascii="Arial" w:hAnsi="Arial" w:eastAsia="Liberation Serif" w:cs="Arial"/>
                <w:sz w:val="24"/>
                <w:szCs w:val="24"/>
              </w:rPr>
            </w:pPr>
            <w:r>
              <w:rPr>
                <w:rFonts w:ascii="Arial" w:hAnsi="Arial" w:eastAsia="Arial" w:cs="Arial"/>
                <w:sz w:val="24"/>
                <w:szCs w:val="24"/>
              </w:rPr>
              <w:t xml:space="preserve">        365</w:t>
            </w:r>
          </w:p>
          <w:p w14:paraId="3AC4F3D6">
            <w:pPr>
              <w:rPr>
                <w:rFonts w:ascii="Arial" w:hAnsi="Arial" w:eastAsia="Arial" w:cs="Arial"/>
                <w:sz w:val="24"/>
                <w:szCs w:val="24"/>
              </w:rPr>
            </w:pPr>
          </w:p>
        </w:tc>
        <w:tc>
          <w:tcPr>
            <w:tcW w:w="3863" w:type="dxa"/>
            <w:vAlign w:val="center"/>
          </w:tcPr>
          <w:p w14:paraId="7F4FAF32">
            <w:pPr>
              <w:rPr>
                <w:rFonts w:ascii="Arial" w:hAnsi="Arial" w:eastAsia="Arial" w:cs="Arial"/>
                <w:sz w:val="24"/>
                <w:szCs w:val="24"/>
              </w:rPr>
            </w:pPr>
          </w:p>
          <w:p w14:paraId="423793BB">
            <w:pPr>
              <w:rPr>
                <w:rFonts w:ascii="Arial" w:hAnsi="Arial" w:eastAsia="Liberation Serif" w:cs="Arial"/>
                <w:sz w:val="24"/>
                <w:szCs w:val="24"/>
              </w:rPr>
            </w:pPr>
            <w:r>
              <w:rPr>
                <w:rFonts w:ascii="Arial" w:hAnsi="Arial" w:eastAsia="Arial" w:cs="Arial"/>
                <w:sz w:val="24"/>
                <w:szCs w:val="24"/>
              </w:rPr>
              <w:t>I = 0,00016438</w:t>
            </w:r>
          </w:p>
          <w:p w14:paraId="3541D770">
            <w:pPr>
              <w:rPr>
                <w:rFonts w:ascii="Arial" w:hAnsi="Arial" w:eastAsia="Liberation Serif" w:cs="Arial"/>
                <w:sz w:val="24"/>
                <w:szCs w:val="24"/>
              </w:rPr>
            </w:pPr>
            <w:r>
              <w:rPr>
                <w:rFonts w:ascii="Arial" w:hAnsi="Arial" w:eastAsia="Arial" w:cs="Arial"/>
                <w:sz w:val="24"/>
                <w:szCs w:val="24"/>
              </w:rPr>
              <w:t>TX = Percentual da taxa anual = 6%.</w:t>
            </w:r>
          </w:p>
        </w:tc>
      </w:tr>
    </w:tbl>
    <w:p w14:paraId="60117E0A">
      <w:pPr>
        <w:spacing w:line="276" w:lineRule="auto"/>
        <w:jc w:val="both"/>
        <w:rPr>
          <w:rFonts w:ascii="Arial" w:hAnsi="Arial" w:cs="Arial"/>
          <w:sz w:val="24"/>
          <w:szCs w:val="24"/>
        </w:rPr>
      </w:pPr>
    </w:p>
    <w:p w14:paraId="346BA3DD">
      <w:pPr>
        <w:spacing w:line="276" w:lineRule="auto"/>
        <w:jc w:val="both"/>
        <w:rPr>
          <w:rFonts w:ascii="Arial" w:hAnsi="Arial" w:cs="Arial"/>
          <w:sz w:val="24"/>
          <w:szCs w:val="24"/>
        </w:rPr>
      </w:pPr>
    </w:p>
    <w:p w14:paraId="49337AE8">
      <w:pPr>
        <w:spacing w:after="0" w:line="276" w:lineRule="auto"/>
        <w:jc w:val="both"/>
        <w:rPr>
          <w:rFonts w:ascii="Arial" w:hAnsi="Arial" w:cs="Arial"/>
          <w:b/>
          <w:bCs/>
          <w:sz w:val="24"/>
          <w:szCs w:val="24"/>
        </w:rPr>
      </w:pPr>
      <w:r>
        <w:rPr>
          <w:rFonts w:ascii="Arial" w:hAnsi="Arial" w:cs="Arial"/>
          <w:b/>
          <w:bCs/>
          <w:sz w:val="24"/>
          <w:szCs w:val="24"/>
        </w:rPr>
        <w:t>12. CRITÉRIOS DE SELEÇÃO DO FORNECEDOR E REQUISITOS DE CONTRATAÇÃO</w:t>
      </w:r>
    </w:p>
    <w:p w14:paraId="031C0680">
      <w:pPr>
        <w:spacing w:after="0" w:line="276" w:lineRule="auto"/>
        <w:jc w:val="both"/>
        <w:rPr>
          <w:rFonts w:ascii="Arial" w:hAnsi="Arial" w:cs="Arial"/>
          <w:b/>
          <w:bCs/>
          <w:sz w:val="24"/>
          <w:szCs w:val="24"/>
        </w:rPr>
      </w:pPr>
    </w:p>
    <w:p w14:paraId="45867A87">
      <w:pPr>
        <w:spacing w:line="276" w:lineRule="auto"/>
        <w:jc w:val="both"/>
        <w:rPr>
          <w:rFonts w:ascii="Arial" w:hAnsi="Arial" w:cs="Arial"/>
          <w:sz w:val="24"/>
          <w:szCs w:val="24"/>
        </w:rPr>
      </w:pPr>
      <w:r>
        <w:rPr>
          <w:rFonts w:ascii="Arial" w:hAnsi="Arial" w:cs="Arial"/>
          <w:b/>
          <w:bCs/>
          <w:sz w:val="24"/>
          <w:szCs w:val="24"/>
        </w:rPr>
        <w:t>12.1</w:t>
      </w:r>
      <w:r>
        <w:rPr>
          <w:rFonts w:ascii="Arial" w:hAnsi="Arial" w:cs="Arial"/>
          <w:sz w:val="24"/>
          <w:szCs w:val="24"/>
        </w:rPr>
        <w:t xml:space="preserve"> As exigências de habilitação jurídica e de regularidade fiscal e trabalhista são as usuais para a generalidade dos objetos, conforme disciplinado no edital ou aviso de dispensa.</w:t>
      </w:r>
    </w:p>
    <w:p w14:paraId="7DD146D2">
      <w:pPr>
        <w:spacing w:line="276" w:lineRule="auto"/>
        <w:jc w:val="both"/>
        <w:rPr>
          <w:rFonts w:ascii="Arial" w:hAnsi="Arial" w:cs="Arial"/>
          <w:sz w:val="24"/>
          <w:szCs w:val="24"/>
        </w:rPr>
      </w:pPr>
      <w:r>
        <w:rPr>
          <w:rFonts w:ascii="Arial" w:hAnsi="Arial" w:cs="Arial"/>
          <w:b/>
          <w:bCs/>
          <w:sz w:val="24"/>
          <w:szCs w:val="24"/>
        </w:rPr>
        <w:t>12.2</w:t>
      </w:r>
      <w:r>
        <w:rPr>
          <w:rFonts w:ascii="Arial" w:hAnsi="Arial" w:cs="Arial"/>
          <w:sz w:val="24"/>
          <w:szCs w:val="24"/>
        </w:rPr>
        <w:t xml:space="preserve"> Os critérios de qualificação econômico-financeira a serem atendidos pelo fornecedor estão previstos no edital.</w:t>
      </w:r>
    </w:p>
    <w:p w14:paraId="163EF6FA">
      <w:pPr>
        <w:spacing w:line="276" w:lineRule="auto"/>
        <w:jc w:val="both"/>
        <w:rPr>
          <w:rFonts w:ascii="Arial" w:hAnsi="Arial" w:cs="Arial"/>
          <w:sz w:val="24"/>
          <w:szCs w:val="24"/>
        </w:rPr>
      </w:pPr>
      <w:r>
        <w:rPr>
          <w:rFonts w:ascii="Arial" w:hAnsi="Arial" w:cs="Arial"/>
          <w:b/>
          <w:bCs/>
          <w:sz w:val="24"/>
          <w:szCs w:val="24"/>
        </w:rPr>
        <w:t>12.3</w:t>
      </w:r>
      <w:r>
        <w:rPr>
          <w:rFonts w:ascii="Arial" w:hAnsi="Arial" w:cs="Arial"/>
          <w:sz w:val="24"/>
          <w:szCs w:val="24"/>
        </w:rPr>
        <w:t xml:space="preserve"> Os critérios de qualificação técnica a serem atendidos pelo fornecedor são os estabelecidos e justificados a seguir e deverão constar no Anexo II do edital ou do Aviso de Dispensa. </w:t>
      </w:r>
    </w:p>
    <w:p w14:paraId="51B32A99">
      <w:pPr>
        <w:spacing w:line="276" w:lineRule="auto"/>
        <w:jc w:val="both"/>
        <w:rPr>
          <w:rFonts w:ascii="Arial" w:hAnsi="Arial" w:cs="Arial"/>
          <w:sz w:val="24"/>
          <w:szCs w:val="24"/>
        </w:rPr>
      </w:pPr>
      <w:r>
        <w:rPr>
          <w:rFonts w:ascii="Arial" w:hAnsi="Arial" w:cs="Arial"/>
          <w:b/>
          <w:bCs/>
          <w:sz w:val="24"/>
          <w:szCs w:val="24"/>
          <w:highlight w:val="darkGray"/>
        </w:rPr>
        <w:t>12.3.1</w:t>
      </w:r>
      <w:r>
        <w:rPr>
          <w:rFonts w:ascii="Arial" w:hAnsi="Arial" w:cs="Arial"/>
          <w:sz w:val="24"/>
          <w:szCs w:val="24"/>
          <w:highlight w:val="darkGray"/>
        </w:rPr>
        <w:t xml:space="preserve"> Prova de atendimento aos seguintes requisitos:</w:t>
      </w:r>
    </w:p>
    <w:p w14:paraId="154A774F">
      <w:pPr>
        <w:spacing w:line="276" w:lineRule="auto"/>
        <w:jc w:val="both"/>
        <w:rPr>
          <w:rFonts w:ascii="Arial" w:hAnsi="Arial" w:cs="Arial"/>
          <w:sz w:val="24"/>
          <w:szCs w:val="24"/>
          <w:highlight w:val="darkGray"/>
        </w:rPr>
      </w:pPr>
      <w:r>
        <w:rPr>
          <w:rFonts w:ascii="Arial" w:hAnsi="Arial" w:cs="Arial"/>
          <w:sz w:val="24"/>
          <w:szCs w:val="24"/>
          <w:highlight w:val="darkGray"/>
        </w:rPr>
        <w:t>a)...</w:t>
      </w:r>
    </w:p>
    <w:p w14:paraId="3D814764">
      <w:pPr>
        <w:spacing w:line="276" w:lineRule="auto"/>
        <w:jc w:val="both"/>
        <w:rPr>
          <w:rFonts w:ascii="Arial" w:hAnsi="Arial" w:cs="Arial"/>
          <w:sz w:val="24"/>
          <w:szCs w:val="24"/>
          <w:highlight w:val="darkGray"/>
        </w:rPr>
      </w:pPr>
      <w:r>
        <w:rPr>
          <w:rFonts w:ascii="Arial" w:hAnsi="Arial" w:cs="Arial"/>
          <w:sz w:val="24"/>
          <w:szCs w:val="24"/>
          <w:highlight w:val="darkGray"/>
        </w:rPr>
        <w:t>b)...</w:t>
      </w:r>
    </w:p>
    <w:p w14:paraId="1F88A052">
      <w:pPr>
        <w:spacing w:line="276" w:lineRule="auto"/>
        <w:jc w:val="both"/>
        <w:rPr>
          <w:rFonts w:ascii="Arial" w:hAnsi="Arial" w:cs="Arial"/>
          <w:sz w:val="24"/>
          <w:szCs w:val="24"/>
          <w:highlight w:val="darkGray"/>
        </w:rPr>
      </w:pPr>
      <w:r>
        <w:rPr>
          <w:rFonts w:ascii="Arial" w:hAnsi="Arial" w:cs="Arial"/>
          <w:sz w:val="24"/>
          <w:szCs w:val="24"/>
          <w:highlight w:val="darkGray"/>
        </w:rPr>
        <w:t>c)...</w:t>
      </w:r>
    </w:p>
    <w:p w14:paraId="3AD37783">
      <w:pPr>
        <w:spacing w:line="276" w:lineRule="auto"/>
        <w:jc w:val="both"/>
        <w:rPr>
          <w:rFonts w:ascii="Arial" w:hAnsi="Arial" w:cs="Arial"/>
          <w:sz w:val="24"/>
          <w:szCs w:val="24"/>
        </w:rPr>
      </w:pPr>
      <w:r>
        <w:rPr>
          <w:rFonts w:ascii="Arial" w:hAnsi="Arial" w:cs="Arial"/>
          <w:sz w:val="24"/>
          <w:szCs w:val="24"/>
          <w:highlight w:val="darkGray"/>
        </w:rPr>
        <w:t>....</w:t>
      </w:r>
    </w:p>
    <w:p w14:paraId="74130F3B">
      <w:pPr>
        <w:spacing w:line="276" w:lineRule="auto"/>
        <w:jc w:val="both"/>
        <w:rPr>
          <w:rFonts w:ascii="Arial" w:hAnsi="Arial" w:cs="Arial"/>
          <w:sz w:val="24"/>
          <w:szCs w:val="24"/>
          <w:highlight w:val="darkGray"/>
        </w:rPr>
      </w:pPr>
      <w:r>
        <w:rPr>
          <w:rFonts w:ascii="Arial" w:hAnsi="Arial" w:cs="Arial"/>
          <w:sz w:val="24"/>
          <w:szCs w:val="24"/>
          <w:highlight w:val="darkGray"/>
        </w:rPr>
        <w:t>OU</w:t>
      </w:r>
    </w:p>
    <w:p w14:paraId="2BFB659D">
      <w:pPr>
        <w:spacing w:line="276" w:lineRule="auto"/>
        <w:jc w:val="both"/>
        <w:rPr>
          <w:rFonts w:ascii="Arial" w:hAnsi="Arial" w:cs="Arial"/>
          <w:sz w:val="24"/>
          <w:szCs w:val="24"/>
        </w:rPr>
      </w:pPr>
      <w:r>
        <w:rPr>
          <w:rFonts w:ascii="Arial" w:hAnsi="Arial" w:cs="Arial"/>
          <w:b/>
          <w:bCs/>
          <w:sz w:val="24"/>
          <w:szCs w:val="24"/>
          <w:highlight w:val="darkGray"/>
        </w:rPr>
        <w:t>12.3</w:t>
      </w:r>
      <w:r>
        <w:rPr>
          <w:rFonts w:ascii="Arial" w:hAnsi="Arial" w:cs="Arial"/>
          <w:sz w:val="24"/>
          <w:szCs w:val="24"/>
          <w:highlight w:val="darkGray"/>
        </w:rPr>
        <w:t xml:space="preserve"> Não há exigência de habilitação complementares, como qualificação técnica e/ou a dispensa de exigência de atestado de capacidade técnica, tendo em vista....... (</w:t>
      </w:r>
      <w:r>
        <w:rPr>
          <w:rFonts w:ascii="Arial" w:hAnsi="Arial" w:cs="Arial"/>
          <w:sz w:val="24"/>
          <w:szCs w:val="24"/>
          <w:highlight w:val="darkGray"/>
          <w:u w:val="single"/>
        </w:rPr>
        <w:t>JUSTIFICATIVA</w:t>
      </w:r>
      <w:r>
        <w:rPr>
          <w:rFonts w:ascii="Arial" w:hAnsi="Arial" w:cs="Arial"/>
          <w:sz w:val="24"/>
          <w:szCs w:val="24"/>
          <w:highlight w:val="darkGray"/>
        </w:rPr>
        <w:t>)</w:t>
      </w:r>
    </w:p>
    <w:p w14:paraId="259CCF91">
      <w:pPr>
        <w:spacing w:line="276" w:lineRule="auto"/>
        <w:jc w:val="both"/>
        <w:rPr>
          <w:rFonts w:ascii="Arial" w:hAnsi="Arial" w:cs="Arial"/>
          <w:sz w:val="24"/>
          <w:szCs w:val="24"/>
        </w:rPr>
      </w:pPr>
      <w:r>
        <w:rPr>
          <w:rFonts w:ascii="Arial" w:hAnsi="Arial" w:cs="Arial"/>
          <w:b/>
          <w:bCs/>
          <w:sz w:val="24"/>
          <w:szCs w:val="24"/>
        </w:rPr>
        <w:t>12.4</w:t>
      </w:r>
      <w:r>
        <w:rPr>
          <w:rFonts w:ascii="Arial" w:hAnsi="Arial" w:cs="Arial"/>
          <w:sz w:val="24"/>
          <w:szCs w:val="24"/>
        </w:rPr>
        <w:t xml:space="preserve"> O critério de julgamento da proposta está definido no item 2 das Condições Específicas do Pregão, ou do Aviso de Dispensa.</w:t>
      </w:r>
    </w:p>
    <w:p w14:paraId="6BA38203">
      <w:pPr>
        <w:spacing w:line="276" w:lineRule="auto"/>
        <w:jc w:val="both"/>
        <w:rPr>
          <w:rFonts w:ascii="Arial" w:hAnsi="Arial" w:cs="Arial"/>
          <w:sz w:val="24"/>
          <w:szCs w:val="24"/>
        </w:rPr>
      </w:pPr>
      <w:r>
        <w:rPr>
          <w:rFonts w:ascii="Arial" w:hAnsi="Arial" w:cs="Arial"/>
          <w:b/>
          <w:bCs/>
          <w:sz w:val="24"/>
          <w:szCs w:val="24"/>
        </w:rPr>
        <w:t>12.5</w:t>
      </w:r>
      <w:r>
        <w:rPr>
          <w:rFonts w:ascii="Arial" w:hAnsi="Arial" w:cs="Arial"/>
          <w:sz w:val="24"/>
          <w:szCs w:val="24"/>
        </w:rPr>
        <w:t xml:space="preserve"> As regras de desempate entre propostas são as discriminadas no edital, ou no Aviso de Dispensa.</w:t>
      </w:r>
    </w:p>
    <w:p w14:paraId="67C9CF36">
      <w:pPr>
        <w:spacing w:line="276" w:lineRule="auto"/>
        <w:jc w:val="both"/>
        <w:rPr>
          <w:rFonts w:ascii="Arial" w:hAnsi="Arial" w:cs="Arial"/>
          <w:sz w:val="24"/>
          <w:szCs w:val="24"/>
        </w:rPr>
      </w:pPr>
    </w:p>
    <w:p w14:paraId="275683D8">
      <w:pPr>
        <w:spacing w:after="0" w:line="276" w:lineRule="auto"/>
        <w:jc w:val="both"/>
        <w:rPr>
          <w:rFonts w:ascii="Arial" w:hAnsi="Arial" w:cs="Arial"/>
          <w:b/>
          <w:bCs/>
          <w:sz w:val="24"/>
          <w:szCs w:val="24"/>
        </w:rPr>
      </w:pPr>
      <w:r>
        <w:rPr>
          <w:rFonts w:ascii="Arial" w:hAnsi="Arial" w:cs="Arial"/>
          <w:b/>
          <w:bCs/>
          <w:sz w:val="24"/>
          <w:szCs w:val="24"/>
        </w:rPr>
        <w:t>13. ALTERAÇÃO SUBJETIVA</w:t>
      </w:r>
    </w:p>
    <w:p w14:paraId="528D8182">
      <w:pPr>
        <w:spacing w:after="0" w:line="276" w:lineRule="auto"/>
        <w:jc w:val="both"/>
        <w:rPr>
          <w:rFonts w:ascii="Arial" w:hAnsi="Arial" w:cs="Arial"/>
          <w:sz w:val="24"/>
          <w:szCs w:val="24"/>
        </w:rPr>
      </w:pPr>
    </w:p>
    <w:p w14:paraId="00A765C3">
      <w:pPr>
        <w:spacing w:line="276" w:lineRule="auto"/>
        <w:jc w:val="both"/>
        <w:rPr>
          <w:rFonts w:ascii="Arial" w:hAnsi="Arial" w:cs="Arial"/>
          <w:sz w:val="24"/>
          <w:szCs w:val="24"/>
        </w:rPr>
      </w:pPr>
      <w:r>
        <w:rPr>
          <w:rFonts w:ascii="Arial" w:hAnsi="Arial" w:cs="Arial"/>
          <w:b/>
          <w:bCs/>
          <w:sz w:val="24"/>
          <w:szCs w:val="24"/>
        </w:rPr>
        <w:t>13.1</w:t>
      </w:r>
      <w:r>
        <w:rPr>
          <w:rFonts w:ascii="Arial" w:hAnsi="Arial" w:cs="Arial"/>
          <w:sz w:val="24"/>
          <w:szCs w:val="24"/>
        </w:rPr>
        <w:t xml:space="preserve"> É admissível a continuidade do contrato administrativo quando houver fusão, cisão ou incorporação do Contratado com outra pessoa jurídica, desde que:</w:t>
      </w:r>
    </w:p>
    <w:p w14:paraId="1A905B08">
      <w:pPr>
        <w:spacing w:line="276" w:lineRule="auto"/>
        <w:jc w:val="both"/>
        <w:rPr>
          <w:rFonts w:ascii="Arial" w:hAnsi="Arial" w:cs="Arial"/>
          <w:sz w:val="24"/>
          <w:szCs w:val="24"/>
        </w:rPr>
      </w:pPr>
      <w:r>
        <w:rPr>
          <w:rFonts w:ascii="Arial" w:hAnsi="Arial" w:cs="Arial"/>
          <w:sz w:val="24"/>
          <w:szCs w:val="24"/>
        </w:rPr>
        <w:t>a) sejam observados pela nova pessoa jurídica todos os requisitos de habilitação exigidos na licitação original;</w:t>
      </w:r>
    </w:p>
    <w:p w14:paraId="39F3E3EF">
      <w:pPr>
        <w:spacing w:line="276" w:lineRule="auto"/>
        <w:jc w:val="both"/>
        <w:rPr>
          <w:rFonts w:ascii="Arial" w:hAnsi="Arial" w:cs="Arial"/>
          <w:sz w:val="24"/>
          <w:szCs w:val="24"/>
        </w:rPr>
      </w:pPr>
      <w:r>
        <w:rPr>
          <w:rFonts w:ascii="Arial" w:hAnsi="Arial" w:cs="Arial"/>
          <w:sz w:val="24"/>
          <w:szCs w:val="24"/>
        </w:rPr>
        <w:t>b) sejam mantidas as demais cláusulas e condições do contrato; e</w:t>
      </w:r>
    </w:p>
    <w:p w14:paraId="026F4A64">
      <w:pPr>
        <w:spacing w:line="276" w:lineRule="auto"/>
        <w:jc w:val="both"/>
        <w:rPr>
          <w:rFonts w:ascii="Arial" w:hAnsi="Arial" w:cs="Arial"/>
          <w:sz w:val="24"/>
          <w:szCs w:val="24"/>
        </w:rPr>
      </w:pPr>
      <w:r>
        <w:rPr>
          <w:rFonts w:ascii="Arial" w:hAnsi="Arial" w:cs="Arial"/>
          <w:sz w:val="24"/>
          <w:szCs w:val="24"/>
        </w:rPr>
        <w:t>c) não haja prejuízo à execução do objeto pactuado e haja anuência expressa da Administração à continuidade do contrato.</w:t>
      </w:r>
    </w:p>
    <w:p w14:paraId="263709E3">
      <w:pPr>
        <w:spacing w:line="276" w:lineRule="auto"/>
        <w:jc w:val="both"/>
        <w:rPr>
          <w:rFonts w:ascii="Arial" w:hAnsi="Arial" w:cs="Arial"/>
          <w:sz w:val="24"/>
          <w:szCs w:val="24"/>
        </w:rPr>
      </w:pPr>
      <w:r>
        <w:rPr>
          <w:rFonts w:ascii="Arial" w:hAnsi="Arial" w:cs="Arial"/>
          <w:b/>
          <w:bCs/>
          <w:sz w:val="24"/>
          <w:szCs w:val="24"/>
        </w:rPr>
        <w:t>13.2</w:t>
      </w:r>
      <w:r>
        <w:rPr>
          <w:rFonts w:ascii="Arial" w:hAnsi="Arial" w:cs="Arial"/>
          <w:sz w:val="24"/>
          <w:szCs w:val="24"/>
        </w:rPr>
        <w:t xml:space="preserve"> A alteração subjetiva a que se refere o item 13.1 deverá ser formalizada por termo aditivo ao contrato.</w:t>
      </w:r>
    </w:p>
    <w:p w14:paraId="564FFB2B">
      <w:pPr>
        <w:spacing w:after="0" w:line="276" w:lineRule="auto"/>
        <w:jc w:val="both"/>
        <w:rPr>
          <w:rFonts w:ascii="Arial" w:hAnsi="Arial" w:cs="Arial"/>
          <w:b/>
          <w:bCs/>
          <w:sz w:val="24"/>
          <w:szCs w:val="24"/>
        </w:rPr>
      </w:pPr>
      <w:r>
        <w:rPr>
          <w:rFonts w:ascii="Arial" w:hAnsi="Arial" w:cs="Arial"/>
          <w:b/>
          <w:bCs/>
          <w:sz w:val="24"/>
          <w:szCs w:val="24"/>
        </w:rPr>
        <w:t>14. SUBCONTRATAÇÃO</w:t>
      </w:r>
    </w:p>
    <w:p w14:paraId="70D67781">
      <w:pPr>
        <w:spacing w:after="0" w:line="276" w:lineRule="auto"/>
        <w:jc w:val="both"/>
        <w:rPr>
          <w:rFonts w:ascii="Arial" w:hAnsi="Arial" w:cs="Arial"/>
          <w:sz w:val="24"/>
          <w:szCs w:val="24"/>
        </w:rPr>
      </w:pPr>
    </w:p>
    <w:p w14:paraId="5DDB7060">
      <w:pPr>
        <w:spacing w:line="276" w:lineRule="auto"/>
        <w:jc w:val="both"/>
        <w:rPr>
          <w:rFonts w:ascii="Arial" w:hAnsi="Arial" w:cs="Arial"/>
          <w:sz w:val="24"/>
          <w:szCs w:val="24"/>
        </w:rPr>
      </w:pPr>
      <w:r>
        <w:rPr>
          <w:rFonts w:ascii="Arial" w:hAnsi="Arial" w:cs="Arial"/>
          <w:b/>
          <w:bCs/>
          <w:sz w:val="24"/>
          <w:szCs w:val="24"/>
        </w:rPr>
        <w:t>14.1</w:t>
      </w:r>
      <w:r>
        <w:rPr>
          <w:rFonts w:ascii="Arial" w:hAnsi="Arial" w:cs="Arial"/>
          <w:sz w:val="24"/>
          <w:szCs w:val="24"/>
        </w:rPr>
        <w:t xml:space="preserve"> Será vedada a subcontratação do objeto contratual. </w:t>
      </w:r>
    </w:p>
    <w:p w14:paraId="2486437D">
      <w:pPr>
        <w:spacing w:line="276" w:lineRule="auto"/>
        <w:jc w:val="both"/>
        <w:rPr>
          <w:rFonts w:ascii="Arial" w:hAnsi="Arial" w:cs="Arial"/>
          <w:sz w:val="24"/>
          <w:szCs w:val="24"/>
        </w:rPr>
      </w:pPr>
    </w:p>
    <w:p w14:paraId="44F244C5">
      <w:pPr>
        <w:spacing w:after="0" w:line="276" w:lineRule="auto"/>
        <w:jc w:val="both"/>
        <w:rPr>
          <w:rFonts w:ascii="Arial" w:hAnsi="Arial" w:cs="Arial"/>
          <w:b/>
          <w:bCs/>
          <w:sz w:val="24"/>
          <w:szCs w:val="24"/>
        </w:rPr>
      </w:pPr>
      <w:r>
        <w:rPr>
          <w:rFonts w:ascii="Arial" w:hAnsi="Arial" w:cs="Arial"/>
          <w:b/>
          <w:bCs/>
          <w:sz w:val="24"/>
          <w:szCs w:val="24"/>
        </w:rPr>
        <w:t>15. DA GARANTIA DE EXECUÇÃO</w:t>
      </w:r>
    </w:p>
    <w:p w14:paraId="4AB44698">
      <w:pPr>
        <w:spacing w:after="0" w:line="276" w:lineRule="auto"/>
        <w:jc w:val="both"/>
        <w:rPr>
          <w:rFonts w:ascii="Arial" w:hAnsi="Arial" w:cs="Arial"/>
          <w:sz w:val="24"/>
          <w:szCs w:val="24"/>
        </w:rPr>
      </w:pPr>
    </w:p>
    <w:p w14:paraId="33829FD5">
      <w:pPr>
        <w:spacing w:line="276" w:lineRule="auto"/>
        <w:jc w:val="both"/>
        <w:rPr>
          <w:rFonts w:ascii="Arial" w:hAnsi="Arial" w:cs="Arial"/>
          <w:sz w:val="24"/>
          <w:szCs w:val="24"/>
        </w:rPr>
      </w:pPr>
      <w:r>
        <w:rPr>
          <w:rFonts w:ascii="Arial" w:hAnsi="Arial" w:cs="Arial"/>
          <w:b/>
          <w:bCs/>
          <w:sz w:val="24"/>
          <w:szCs w:val="24"/>
        </w:rPr>
        <w:t>15.1</w:t>
      </w:r>
      <w:r>
        <w:rPr>
          <w:rFonts w:ascii="Arial" w:hAnsi="Arial" w:cs="Arial"/>
          <w:sz w:val="24"/>
          <w:szCs w:val="24"/>
        </w:rPr>
        <w:t xml:space="preserve"> Não haverá exigência de garantia contratual da execução, pelas razões abaixo justificadas:</w:t>
      </w:r>
    </w:p>
    <w:p w14:paraId="7AC36504">
      <w:pPr>
        <w:spacing w:line="276" w:lineRule="auto"/>
        <w:jc w:val="both"/>
        <w:rPr>
          <w:rFonts w:ascii="Arial" w:hAnsi="Arial" w:cs="Arial"/>
          <w:sz w:val="24"/>
          <w:szCs w:val="24"/>
        </w:rPr>
      </w:pPr>
      <w:r>
        <w:rPr>
          <w:rFonts w:ascii="Arial" w:hAnsi="Arial" w:cs="Arial"/>
          <w:b/>
          <w:bCs/>
          <w:sz w:val="24"/>
          <w:szCs w:val="24"/>
        </w:rPr>
        <w:t>15.1.1</w:t>
      </w:r>
      <w:r>
        <w:rPr>
          <w:rFonts w:ascii="Arial" w:hAnsi="Arial" w:cs="Arial"/>
          <w:sz w:val="24"/>
          <w:szCs w:val="24"/>
        </w:rPr>
        <w:t xml:space="preserve"> Em razão da natureza do objeto </w:t>
      </w:r>
      <w:r>
        <w:rPr>
          <w:rFonts w:ascii="Arial" w:hAnsi="Arial" w:cs="Arial"/>
          <w:sz w:val="24"/>
          <w:szCs w:val="24"/>
          <w:highlight w:val="darkGray"/>
        </w:rPr>
        <w:t>... (complementar o texto. A razão pode ser vinculada ao prazo de entrega única/parcelada/valor por exemplo).</w:t>
      </w:r>
    </w:p>
    <w:p w14:paraId="4722DA4E">
      <w:pPr>
        <w:spacing w:after="0" w:line="276" w:lineRule="auto"/>
        <w:jc w:val="both"/>
        <w:rPr>
          <w:rFonts w:ascii="Arial" w:hAnsi="Arial" w:cs="Arial"/>
          <w:sz w:val="24"/>
          <w:szCs w:val="24"/>
        </w:rPr>
      </w:pPr>
    </w:p>
    <w:p w14:paraId="1D552FB2">
      <w:pPr>
        <w:spacing w:after="0" w:line="276" w:lineRule="auto"/>
        <w:jc w:val="both"/>
        <w:rPr>
          <w:rFonts w:ascii="Arial" w:hAnsi="Arial" w:cs="Arial"/>
          <w:b/>
          <w:bCs/>
          <w:sz w:val="24"/>
          <w:szCs w:val="24"/>
        </w:rPr>
      </w:pPr>
      <w:r>
        <w:rPr>
          <w:rFonts w:ascii="Arial" w:hAnsi="Arial" w:cs="Arial"/>
          <w:b/>
          <w:bCs/>
          <w:sz w:val="24"/>
          <w:szCs w:val="24"/>
          <w:highlight w:val="darkGray"/>
        </w:rPr>
        <w:t>OU</w:t>
      </w:r>
    </w:p>
    <w:p w14:paraId="466A77F8">
      <w:pPr>
        <w:spacing w:after="0" w:line="276" w:lineRule="auto"/>
        <w:jc w:val="both"/>
        <w:rPr>
          <w:rFonts w:ascii="Arial" w:hAnsi="Arial" w:cs="Arial"/>
          <w:sz w:val="24"/>
          <w:szCs w:val="24"/>
        </w:rPr>
      </w:pPr>
    </w:p>
    <w:p w14:paraId="6451F294">
      <w:pPr>
        <w:spacing w:line="276" w:lineRule="auto"/>
        <w:jc w:val="both"/>
        <w:rPr>
          <w:rFonts w:ascii="Arial" w:hAnsi="Arial" w:cs="Arial"/>
          <w:sz w:val="24"/>
          <w:szCs w:val="24"/>
        </w:rPr>
      </w:pPr>
      <w:r>
        <w:rPr>
          <w:rFonts w:ascii="Arial" w:hAnsi="Arial" w:cs="Arial"/>
          <w:b/>
          <w:bCs/>
          <w:sz w:val="24"/>
          <w:szCs w:val="24"/>
        </w:rPr>
        <w:t>15.1</w:t>
      </w:r>
      <w:r>
        <w:rPr>
          <w:rFonts w:ascii="Arial" w:hAnsi="Arial" w:cs="Arial"/>
          <w:sz w:val="24"/>
          <w:szCs w:val="24"/>
        </w:rPr>
        <w:t xml:space="preserve"> O adjudicatário, no prazo de </w:t>
      </w:r>
      <w:r>
        <w:rPr>
          <w:rFonts w:ascii="Arial" w:hAnsi="Arial" w:cs="Arial"/>
          <w:sz w:val="24"/>
          <w:szCs w:val="24"/>
          <w:highlight w:val="darkGray"/>
        </w:rPr>
        <w:t>...... (..…)</w:t>
      </w:r>
      <w:r>
        <w:rPr>
          <w:rFonts w:ascii="Arial" w:hAnsi="Arial" w:cs="Arial"/>
          <w:sz w:val="24"/>
          <w:szCs w:val="24"/>
        </w:rPr>
        <w:t xml:space="preserve"> dias após a assinatura do Termo de Contrato ou aceite do instrumento equivalente, prestará garantia no valor correspondente a </w:t>
      </w:r>
      <w:r>
        <w:rPr>
          <w:rFonts w:ascii="Arial" w:hAnsi="Arial" w:cs="Arial"/>
          <w:sz w:val="24"/>
          <w:szCs w:val="24"/>
          <w:highlight w:val="darkGray"/>
        </w:rPr>
        <w:t>........... (.....)</w:t>
      </w:r>
      <w:r>
        <w:rPr>
          <w:rFonts w:ascii="Arial" w:hAnsi="Arial" w:cs="Arial"/>
          <w:sz w:val="24"/>
          <w:szCs w:val="24"/>
        </w:rPr>
        <w:t xml:space="preserve"> do valor do Contrato, que será liberada de acordo com as condições previstas neste Edital, conforme disposto no art. 96 da Lei Federal n.º 14.133, de 2021, desde que cumpridas as obrigações contratuais.</w:t>
      </w:r>
    </w:p>
    <w:p w14:paraId="52A49366">
      <w:pPr>
        <w:spacing w:line="276" w:lineRule="auto"/>
        <w:jc w:val="both"/>
        <w:rPr>
          <w:rFonts w:ascii="Arial" w:hAnsi="Arial" w:cs="Arial"/>
          <w:sz w:val="24"/>
          <w:szCs w:val="24"/>
        </w:rPr>
      </w:pPr>
      <w:r>
        <w:rPr>
          <w:rFonts w:ascii="Arial" w:hAnsi="Arial" w:cs="Arial"/>
          <w:b/>
          <w:bCs/>
          <w:sz w:val="24"/>
          <w:szCs w:val="24"/>
        </w:rPr>
        <w:t>15.2</w:t>
      </w:r>
      <w:r>
        <w:rPr>
          <w:rFonts w:ascii="Arial" w:hAnsi="Arial" w:cs="Arial"/>
          <w:sz w:val="24"/>
          <w:szCs w:val="24"/>
        </w:rPr>
        <w:t xml:space="preserve"> Caberá ao contratado optar por uma das seguintes modalidades de garantia:</w:t>
      </w:r>
    </w:p>
    <w:p w14:paraId="54735C01">
      <w:pPr>
        <w:spacing w:line="276" w:lineRule="auto"/>
        <w:jc w:val="both"/>
        <w:rPr>
          <w:rFonts w:ascii="Arial" w:hAnsi="Arial" w:cs="Arial"/>
          <w:sz w:val="24"/>
          <w:szCs w:val="24"/>
        </w:rPr>
      </w:pPr>
      <w:r>
        <w:rPr>
          <w:rFonts w:ascii="Arial" w:hAnsi="Arial" w:cs="Arial"/>
          <w:b/>
          <w:bCs/>
          <w:sz w:val="24"/>
          <w:szCs w:val="24"/>
        </w:rPr>
        <w:t>15.2.1</w:t>
      </w:r>
      <w:r>
        <w:rPr>
          <w:rFonts w:ascii="Arial" w:hAnsi="Arial" w:cs="Arial"/>
          <w:sz w:val="24"/>
          <w:szCs w:val="24"/>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4AF6A284">
      <w:pPr>
        <w:spacing w:line="276" w:lineRule="auto"/>
        <w:jc w:val="both"/>
        <w:rPr>
          <w:rFonts w:ascii="Arial" w:hAnsi="Arial" w:cs="Arial"/>
          <w:sz w:val="24"/>
          <w:szCs w:val="24"/>
        </w:rPr>
      </w:pPr>
      <w:r>
        <w:rPr>
          <w:rFonts w:ascii="Arial" w:hAnsi="Arial" w:cs="Arial"/>
          <w:b/>
          <w:bCs/>
          <w:sz w:val="24"/>
          <w:szCs w:val="24"/>
        </w:rPr>
        <w:t>15.2.2</w:t>
      </w:r>
      <w:r>
        <w:rPr>
          <w:rFonts w:ascii="Arial" w:hAnsi="Arial" w:cs="Arial"/>
          <w:sz w:val="24"/>
          <w:szCs w:val="24"/>
        </w:rPr>
        <w:t xml:space="preserve"> seguro-garantia;</w:t>
      </w:r>
    </w:p>
    <w:p w14:paraId="1A69980F">
      <w:pPr>
        <w:spacing w:line="276" w:lineRule="auto"/>
        <w:jc w:val="both"/>
        <w:rPr>
          <w:rFonts w:ascii="Arial" w:hAnsi="Arial" w:cs="Arial"/>
          <w:sz w:val="24"/>
          <w:szCs w:val="24"/>
        </w:rPr>
      </w:pPr>
      <w:r>
        <w:rPr>
          <w:rFonts w:ascii="Arial" w:hAnsi="Arial" w:cs="Arial"/>
          <w:b/>
          <w:bCs/>
          <w:sz w:val="24"/>
          <w:szCs w:val="24"/>
        </w:rPr>
        <w:t>15.2.3</w:t>
      </w:r>
      <w:r>
        <w:rPr>
          <w:rFonts w:ascii="Arial" w:hAnsi="Arial" w:cs="Arial"/>
          <w:sz w:val="24"/>
          <w:szCs w:val="24"/>
        </w:rPr>
        <w:t xml:space="preserve"> fiança bancária emitida por banco ou instituição financeira devidamente autorizada a operar no País pelo Banco Central do Brasil.</w:t>
      </w:r>
    </w:p>
    <w:p w14:paraId="78F6F2DA">
      <w:pPr>
        <w:spacing w:line="276" w:lineRule="auto"/>
        <w:jc w:val="both"/>
        <w:rPr>
          <w:rFonts w:ascii="Arial" w:hAnsi="Arial" w:cs="Arial"/>
          <w:sz w:val="24"/>
          <w:szCs w:val="24"/>
        </w:rPr>
      </w:pPr>
      <w:r>
        <w:rPr>
          <w:rFonts w:ascii="Arial" w:hAnsi="Arial" w:cs="Arial"/>
          <w:b/>
          <w:bCs/>
          <w:sz w:val="24"/>
          <w:szCs w:val="24"/>
        </w:rPr>
        <w:t>15.3</w:t>
      </w:r>
      <w:r>
        <w:rPr>
          <w:rFonts w:ascii="Arial" w:hAnsi="Arial" w:cs="Arial"/>
          <w:sz w:val="24"/>
          <w:szCs w:val="24"/>
        </w:rPr>
        <w:t xml:space="preserve"> A garantia em dinheiro deverá ser depositada em favor do contratante, na Instituição Financeira indicada pela Administração, com correção monetária, em favor do contratante.</w:t>
      </w:r>
    </w:p>
    <w:p w14:paraId="63558F3F">
      <w:pPr>
        <w:spacing w:line="276" w:lineRule="auto"/>
        <w:jc w:val="both"/>
        <w:rPr>
          <w:rFonts w:ascii="Arial" w:hAnsi="Arial" w:cs="Arial"/>
          <w:sz w:val="24"/>
          <w:szCs w:val="24"/>
        </w:rPr>
      </w:pPr>
      <w:r>
        <w:rPr>
          <w:rFonts w:ascii="Arial" w:hAnsi="Arial" w:cs="Arial"/>
          <w:b/>
          <w:bCs/>
          <w:sz w:val="24"/>
          <w:szCs w:val="24"/>
        </w:rPr>
        <w:t>15.4</w:t>
      </w:r>
      <w:r>
        <w:rPr>
          <w:rFonts w:ascii="Arial" w:hAnsi="Arial" w:cs="Arial"/>
          <w:sz w:val="24"/>
          <w:szCs w:val="24"/>
        </w:rPr>
        <w:t xml:space="preserve"> No caso de alteração do valor do contrato, ou prorrogação de sua vigência, a garantia deverá ser readequada ou renovada nas mesmas condições.</w:t>
      </w:r>
    </w:p>
    <w:p w14:paraId="70DF95C0">
      <w:pPr>
        <w:spacing w:line="276" w:lineRule="auto"/>
        <w:jc w:val="both"/>
        <w:rPr>
          <w:rFonts w:ascii="Arial" w:hAnsi="Arial" w:cs="Arial"/>
          <w:sz w:val="24"/>
          <w:szCs w:val="24"/>
        </w:rPr>
      </w:pPr>
      <w:r>
        <w:rPr>
          <w:rFonts w:ascii="Arial" w:hAnsi="Arial" w:cs="Arial"/>
          <w:b/>
          <w:bCs/>
          <w:sz w:val="24"/>
          <w:szCs w:val="24"/>
        </w:rPr>
        <w:t>15.5</w:t>
      </w:r>
      <w:r>
        <w:rPr>
          <w:rFonts w:ascii="Arial" w:hAnsi="Arial" w:cs="Arial"/>
          <w:sz w:val="24"/>
          <w:szCs w:val="24"/>
        </w:rPr>
        <w:t xml:space="preserve"> Se o valor da garantia for utilizado total ou parcialmente em pagamento de qualquer obrigação, o Contratado obriga-se a fazer a respectiva reposição no prazo máximo de [XXXXXXX] (XXXX) dias úteis, contados da data em que for notificada.</w:t>
      </w:r>
    </w:p>
    <w:p w14:paraId="797C9BB1">
      <w:pPr>
        <w:spacing w:line="276" w:lineRule="auto"/>
        <w:jc w:val="both"/>
        <w:rPr>
          <w:rFonts w:ascii="Arial" w:hAnsi="Arial" w:cs="Arial"/>
          <w:sz w:val="24"/>
          <w:szCs w:val="24"/>
        </w:rPr>
      </w:pPr>
      <w:r>
        <w:rPr>
          <w:rFonts w:ascii="Arial" w:hAnsi="Arial" w:cs="Arial"/>
          <w:b/>
          <w:bCs/>
          <w:sz w:val="24"/>
          <w:szCs w:val="24"/>
        </w:rPr>
        <w:t>15.6</w:t>
      </w:r>
      <w:r>
        <w:rPr>
          <w:rFonts w:ascii="Arial" w:hAnsi="Arial" w:cs="Arial"/>
          <w:sz w:val="24"/>
          <w:szCs w:val="24"/>
        </w:rPr>
        <w:t xml:space="preserve"> A Contratante executará a garantia na forma prevista na legislação que rege a matéria.</w:t>
      </w:r>
    </w:p>
    <w:p w14:paraId="0620901D">
      <w:pPr>
        <w:spacing w:line="276" w:lineRule="auto"/>
        <w:jc w:val="both"/>
        <w:rPr>
          <w:rFonts w:ascii="Arial" w:hAnsi="Arial" w:cs="Arial"/>
          <w:sz w:val="24"/>
          <w:szCs w:val="24"/>
        </w:rPr>
      </w:pPr>
      <w:r>
        <w:rPr>
          <w:rFonts w:ascii="Arial" w:hAnsi="Arial" w:cs="Arial"/>
          <w:b/>
          <w:bCs/>
          <w:sz w:val="24"/>
          <w:szCs w:val="24"/>
        </w:rPr>
        <w:t>15.7</w:t>
      </w:r>
      <w:r>
        <w:rPr>
          <w:rFonts w:ascii="Arial" w:hAnsi="Arial" w:cs="Arial"/>
          <w:sz w:val="24"/>
          <w:szCs w:val="24"/>
        </w:rPr>
        <w:t xml:space="preserve"> A garantia prestada pelo contratado será liberada ou restituída após a fiel execução do contrato ou após a sua extinção por culpa exclusiva da Administração e, quando em dinheiro, atualizada monetariamente. (art.100 da Lei Federal n.º 14.133, de 2021).</w:t>
      </w:r>
    </w:p>
    <w:p w14:paraId="33AC70CF">
      <w:pPr>
        <w:spacing w:line="276" w:lineRule="auto"/>
        <w:jc w:val="both"/>
        <w:rPr>
          <w:rFonts w:ascii="Arial" w:hAnsi="Arial" w:cs="Arial"/>
          <w:sz w:val="24"/>
          <w:szCs w:val="24"/>
        </w:rPr>
      </w:pPr>
      <w:r>
        <w:rPr>
          <w:rFonts w:ascii="Arial" w:hAnsi="Arial" w:cs="Arial"/>
          <w:b/>
          <w:bCs/>
          <w:sz w:val="24"/>
          <w:szCs w:val="24"/>
        </w:rPr>
        <w:t>15.8</w:t>
      </w:r>
      <w:r>
        <w:rPr>
          <w:rFonts w:ascii="Arial" w:hAnsi="Arial" w:cs="Arial"/>
          <w:sz w:val="24"/>
          <w:szCs w:val="24"/>
        </w:rPr>
        <w:t xml:space="preserve"> No caso de seguro-garantia, o adjudicatário terá 1 (um) mês, contado da data de homologação da licitação e anterior à assinatura do contrato, para a prestação da garantia.</w:t>
      </w:r>
    </w:p>
    <w:p w14:paraId="286DB0ED">
      <w:pPr>
        <w:spacing w:after="0" w:line="276" w:lineRule="auto"/>
        <w:jc w:val="both"/>
        <w:rPr>
          <w:rFonts w:ascii="Arial" w:hAnsi="Arial" w:cs="Arial"/>
          <w:sz w:val="24"/>
          <w:szCs w:val="24"/>
        </w:rPr>
      </w:pPr>
    </w:p>
    <w:p w14:paraId="75CA49E4">
      <w:pPr>
        <w:spacing w:after="0" w:line="276" w:lineRule="auto"/>
        <w:jc w:val="both"/>
        <w:rPr>
          <w:rFonts w:ascii="Arial" w:hAnsi="Arial" w:cs="Arial"/>
          <w:sz w:val="24"/>
          <w:szCs w:val="24"/>
        </w:rPr>
      </w:pPr>
      <w:r>
        <w:rPr>
          <w:rFonts w:ascii="Arial" w:hAnsi="Arial" w:cs="Arial"/>
          <w:sz w:val="24"/>
          <w:szCs w:val="24"/>
          <w:highlight w:val="darkGray"/>
        </w:rPr>
        <w:t>SE FOR O CASO:</w:t>
      </w:r>
    </w:p>
    <w:p w14:paraId="05A62101">
      <w:pPr>
        <w:spacing w:after="0" w:line="276" w:lineRule="auto"/>
        <w:jc w:val="both"/>
        <w:rPr>
          <w:rFonts w:ascii="Arial" w:hAnsi="Arial" w:cs="Arial"/>
          <w:sz w:val="24"/>
          <w:szCs w:val="24"/>
        </w:rPr>
      </w:pPr>
    </w:p>
    <w:p w14:paraId="45730081">
      <w:pPr>
        <w:spacing w:line="276" w:lineRule="auto"/>
        <w:jc w:val="both"/>
        <w:rPr>
          <w:rFonts w:ascii="Arial" w:hAnsi="Arial" w:cs="Arial"/>
          <w:sz w:val="24"/>
          <w:szCs w:val="24"/>
        </w:rPr>
      </w:pPr>
      <w:r>
        <w:rPr>
          <w:rFonts w:ascii="Arial" w:hAnsi="Arial" w:cs="Arial"/>
          <w:b/>
          <w:bCs/>
          <w:sz w:val="24"/>
          <w:szCs w:val="24"/>
        </w:rPr>
        <w:t>15.9</w:t>
      </w:r>
      <w:r>
        <w:rPr>
          <w:rFonts w:ascii="Arial" w:hAnsi="Arial" w:cs="Arial"/>
          <w:sz w:val="24"/>
          <w:szCs w:val="24"/>
        </w:rPr>
        <w:t xml:space="preserve"> Será permitida a substituição da apólice de seguro-garantia na data de renovação ou de aniversário, desde que mantidas as mesmas condições e coberturas da apólice vigente e desde que nenhum período fique descoberto.</w:t>
      </w:r>
    </w:p>
    <w:p w14:paraId="3F8E8CED">
      <w:pPr>
        <w:spacing w:line="276" w:lineRule="auto"/>
        <w:jc w:val="both"/>
        <w:rPr>
          <w:rFonts w:ascii="Arial" w:hAnsi="Arial" w:cs="Arial"/>
          <w:sz w:val="24"/>
          <w:szCs w:val="24"/>
        </w:rPr>
      </w:pPr>
    </w:p>
    <w:p w14:paraId="5E58763C">
      <w:pPr>
        <w:spacing w:after="0" w:line="276" w:lineRule="auto"/>
        <w:jc w:val="both"/>
        <w:rPr>
          <w:rFonts w:ascii="Arial" w:hAnsi="Arial" w:cs="Arial"/>
          <w:b/>
          <w:bCs/>
          <w:sz w:val="24"/>
          <w:szCs w:val="24"/>
        </w:rPr>
      </w:pPr>
      <w:r>
        <w:rPr>
          <w:rFonts w:ascii="Arial" w:hAnsi="Arial" w:cs="Arial"/>
          <w:b/>
          <w:bCs/>
          <w:sz w:val="24"/>
          <w:szCs w:val="24"/>
        </w:rPr>
        <w:t>16. DA GARANTIA CONTRATUAL DOS BENS</w:t>
      </w:r>
    </w:p>
    <w:p w14:paraId="15C3E755">
      <w:pPr>
        <w:spacing w:after="0" w:line="276" w:lineRule="auto"/>
        <w:jc w:val="both"/>
        <w:rPr>
          <w:rFonts w:ascii="Arial" w:hAnsi="Arial" w:cs="Arial"/>
          <w:sz w:val="24"/>
          <w:szCs w:val="24"/>
        </w:rPr>
      </w:pPr>
    </w:p>
    <w:p w14:paraId="64BB8130">
      <w:pPr>
        <w:spacing w:line="276" w:lineRule="auto"/>
        <w:jc w:val="both"/>
        <w:rPr>
          <w:rFonts w:ascii="Arial" w:hAnsi="Arial" w:cs="Arial"/>
          <w:sz w:val="24"/>
          <w:szCs w:val="24"/>
        </w:rPr>
      </w:pPr>
      <w:r>
        <w:rPr>
          <w:rFonts w:ascii="Arial" w:hAnsi="Arial" w:cs="Arial"/>
          <w:b/>
          <w:bCs/>
          <w:sz w:val="24"/>
          <w:szCs w:val="24"/>
        </w:rPr>
        <w:t>16.1</w:t>
      </w:r>
      <w:r>
        <w:rPr>
          <w:rFonts w:ascii="Arial" w:hAnsi="Arial" w:cs="Arial"/>
          <w:sz w:val="24"/>
          <w:szCs w:val="24"/>
        </w:rPr>
        <w:t xml:space="preserve"> Não há exigência de garantia complementar.</w:t>
      </w:r>
    </w:p>
    <w:p w14:paraId="6507D815">
      <w:pPr>
        <w:spacing w:line="276" w:lineRule="auto"/>
        <w:jc w:val="both"/>
        <w:rPr>
          <w:rFonts w:ascii="Arial" w:hAnsi="Arial" w:cs="Arial"/>
          <w:b/>
          <w:bCs/>
          <w:sz w:val="24"/>
          <w:szCs w:val="24"/>
        </w:rPr>
      </w:pPr>
      <w:r>
        <w:rPr>
          <w:rFonts w:ascii="Arial" w:hAnsi="Arial" w:cs="Arial"/>
          <w:b/>
          <w:bCs/>
          <w:sz w:val="24"/>
          <w:szCs w:val="24"/>
          <w:highlight w:val="darkGray"/>
        </w:rPr>
        <w:t>OU (material de consumo)</w:t>
      </w:r>
    </w:p>
    <w:p w14:paraId="0B800674">
      <w:pPr>
        <w:spacing w:line="276" w:lineRule="auto"/>
        <w:jc w:val="both"/>
        <w:rPr>
          <w:rFonts w:ascii="Arial" w:hAnsi="Arial" w:cs="Arial"/>
          <w:sz w:val="24"/>
          <w:szCs w:val="24"/>
        </w:rPr>
      </w:pPr>
      <w:r>
        <w:rPr>
          <w:rFonts w:ascii="Arial" w:hAnsi="Arial" w:cs="Arial"/>
          <w:b/>
          <w:bCs/>
          <w:sz w:val="24"/>
          <w:szCs w:val="24"/>
        </w:rPr>
        <w:t>16.1</w:t>
      </w:r>
      <w:r>
        <w:rPr>
          <w:rFonts w:ascii="Arial" w:hAnsi="Arial" w:cs="Arial"/>
          <w:sz w:val="24"/>
          <w:szCs w:val="24"/>
        </w:rPr>
        <w:t xml:space="preserve"> O prazo de garantia contratual dos bens, complementar à garantia legal, será de, no mínimo, </w:t>
      </w:r>
      <w:r>
        <w:rPr>
          <w:rFonts w:ascii="Arial" w:hAnsi="Arial" w:cs="Arial"/>
          <w:sz w:val="24"/>
          <w:szCs w:val="24"/>
          <w:highlight w:val="darkGray"/>
        </w:rPr>
        <w:t>___ (____) meses totalizando 12 meses</w:t>
      </w:r>
      <w:r>
        <w:rPr>
          <w:rFonts w:ascii="Arial" w:hAnsi="Arial" w:cs="Arial"/>
          <w:sz w:val="24"/>
          <w:szCs w:val="24"/>
        </w:rPr>
        <w:t xml:space="preserve">, contado a partir do primeiro dia útil subsequente ao fim do prazo da garantia legal. </w:t>
      </w:r>
    </w:p>
    <w:p w14:paraId="612868CD">
      <w:pPr>
        <w:spacing w:line="276" w:lineRule="auto"/>
        <w:jc w:val="both"/>
        <w:rPr>
          <w:rFonts w:ascii="Arial" w:hAnsi="Arial" w:cs="Arial"/>
          <w:sz w:val="24"/>
          <w:szCs w:val="24"/>
        </w:rPr>
      </w:pPr>
      <w:r>
        <w:rPr>
          <w:rFonts w:ascii="Arial" w:hAnsi="Arial" w:cs="Arial"/>
          <w:b/>
          <w:bCs/>
          <w:sz w:val="24"/>
          <w:szCs w:val="24"/>
        </w:rPr>
        <w:t>16.2</w:t>
      </w:r>
      <w:r>
        <w:rPr>
          <w:rFonts w:ascii="Arial" w:hAnsi="Arial" w:cs="Arial"/>
          <w:sz w:val="24"/>
          <w:szCs w:val="24"/>
        </w:rPr>
        <w:t xml:space="preserve"> Caso o prazo da garantia oferecida pelo fabricante seja inferior ao estabelecido nesta cláusula, o licitante deverá complementar a garantia do bem ofertado pelo período restante.</w:t>
      </w:r>
    </w:p>
    <w:p w14:paraId="697C148D">
      <w:pPr>
        <w:spacing w:line="276" w:lineRule="auto"/>
        <w:jc w:val="both"/>
        <w:rPr>
          <w:rFonts w:ascii="Arial" w:hAnsi="Arial" w:cs="Arial"/>
          <w:b/>
          <w:bCs/>
          <w:sz w:val="24"/>
          <w:szCs w:val="24"/>
        </w:rPr>
      </w:pPr>
      <w:r>
        <w:rPr>
          <w:rFonts w:ascii="Arial" w:hAnsi="Arial" w:cs="Arial"/>
          <w:b/>
          <w:bCs/>
          <w:sz w:val="24"/>
          <w:szCs w:val="24"/>
          <w:highlight w:val="darkGray"/>
        </w:rPr>
        <w:t>OU (material permanente)</w:t>
      </w:r>
    </w:p>
    <w:p w14:paraId="32A73690">
      <w:pPr>
        <w:spacing w:line="276" w:lineRule="auto"/>
        <w:jc w:val="both"/>
        <w:rPr>
          <w:rFonts w:ascii="Arial" w:hAnsi="Arial" w:cs="Arial"/>
          <w:sz w:val="24"/>
          <w:szCs w:val="24"/>
        </w:rPr>
      </w:pPr>
      <w:r>
        <w:rPr>
          <w:rFonts w:ascii="Arial" w:hAnsi="Arial" w:cs="Arial"/>
          <w:b/>
          <w:bCs/>
          <w:sz w:val="24"/>
          <w:szCs w:val="24"/>
        </w:rPr>
        <w:t>16.1</w:t>
      </w:r>
      <w:r>
        <w:rPr>
          <w:rFonts w:ascii="Arial" w:hAnsi="Arial" w:cs="Arial"/>
          <w:sz w:val="24"/>
          <w:szCs w:val="24"/>
        </w:rPr>
        <w:t xml:space="preserve"> O prazo de garantia contratual dos bens, complementar à garantia legal, é de, no mínimo, </w:t>
      </w:r>
      <w:r>
        <w:rPr>
          <w:rFonts w:ascii="Arial" w:hAnsi="Arial" w:cs="Arial"/>
          <w:sz w:val="24"/>
          <w:szCs w:val="24"/>
          <w:highlight w:val="darkGray"/>
        </w:rPr>
        <w:t>__ (____) meses totalizando 12 meses</w:t>
      </w:r>
      <w:r>
        <w:rPr>
          <w:rFonts w:ascii="Arial" w:hAnsi="Arial" w:cs="Arial"/>
          <w:sz w:val="24"/>
          <w:szCs w:val="24"/>
        </w:rPr>
        <w:t xml:space="preserve">, ou pelo prazo fornecido pelo fabricante, se superior, contado a partir do primeiro dia útil subsequente ao fim do prazo da garantia legal. </w:t>
      </w:r>
    </w:p>
    <w:p w14:paraId="0E42B0B0">
      <w:pPr>
        <w:spacing w:line="276" w:lineRule="auto"/>
        <w:jc w:val="both"/>
        <w:rPr>
          <w:rFonts w:ascii="Arial" w:hAnsi="Arial" w:cs="Arial"/>
          <w:sz w:val="24"/>
          <w:szCs w:val="24"/>
        </w:rPr>
      </w:pPr>
      <w:r>
        <w:rPr>
          <w:rFonts w:ascii="Arial" w:hAnsi="Arial" w:cs="Arial"/>
          <w:b/>
          <w:bCs/>
          <w:sz w:val="24"/>
          <w:szCs w:val="24"/>
        </w:rPr>
        <w:t>16.2</w:t>
      </w:r>
      <w:r>
        <w:rPr>
          <w:rFonts w:ascii="Arial" w:hAnsi="Arial" w:cs="Arial"/>
          <w:sz w:val="24"/>
          <w:szCs w:val="24"/>
        </w:rPr>
        <w:t xml:space="preserve"> A garantia será prestada com vistas a manter os equipamentos fornecidos em perfeitas condições de uso, sem qualquer ônus ou custo adicional para o Contratante.</w:t>
      </w:r>
    </w:p>
    <w:p w14:paraId="33308A85">
      <w:pPr>
        <w:spacing w:line="276" w:lineRule="auto"/>
        <w:jc w:val="both"/>
        <w:rPr>
          <w:rFonts w:ascii="Arial" w:hAnsi="Arial" w:cs="Arial"/>
          <w:sz w:val="24"/>
          <w:szCs w:val="24"/>
        </w:rPr>
      </w:pPr>
      <w:r>
        <w:rPr>
          <w:rFonts w:ascii="Arial" w:hAnsi="Arial" w:cs="Arial"/>
          <w:b/>
          <w:bCs/>
          <w:sz w:val="24"/>
          <w:szCs w:val="24"/>
        </w:rPr>
        <w:t>16.3</w:t>
      </w:r>
      <w:r>
        <w:rPr>
          <w:rFonts w:ascii="Arial" w:hAnsi="Arial" w:cs="Arial"/>
          <w:sz w:val="24"/>
          <w:szCs w:val="24"/>
        </w:rPr>
        <w:t xml:space="preserve"> A garantia abrange a realização da manutenção corretiva dos bens pelo próprio Contratado, ou, se for o caso, por meio de assistência técnica autorizada, de acordo com as normas técnicas específicas.</w:t>
      </w:r>
    </w:p>
    <w:p w14:paraId="52CBE00A">
      <w:pPr>
        <w:spacing w:line="276" w:lineRule="auto"/>
        <w:jc w:val="both"/>
        <w:rPr>
          <w:rFonts w:ascii="Arial" w:hAnsi="Arial" w:cs="Arial"/>
          <w:sz w:val="24"/>
          <w:szCs w:val="24"/>
        </w:rPr>
      </w:pPr>
      <w:r>
        <w:rPr>
          <w:rFonts w:ascii="Arial" w:hAnsi="Arial" w:cs="Arial"/>
          <w:b/>
          <w:bCs/>
          <w:sz w:val="24"/>
          <w:szCs w:val="24"/>
        </w:rPr>
        <w:t>16.4</w:t>
      </w:r>
      <w:r>
        <w:rPr>
          <w:rFonts w:ascii="Arial" w:hAnsi="Arial" w:cs="Arial"/>
          <w:sz w:val="24"/>
          <w:szCs w:val="24"/>
        </w:rPr>
        <w:t xml:space="preserve"> Entende-se por manutenção corretiva aquela destinada a corrigir os defeitos apresentados pelos bens, compreendendo a substituição de peças, a realização de ajustes, reparos e correções necessárias.</w:t>
      </w:r>
    </w:p>
    <w:p w14:paraId="2E306CB0">
      <w:pPr>
        <w:spacing w:line="276" w:lineRule="auto"/>
        <w:jc w:val="both"/>
        <w:rPr>
          <w:rFonts w:ascii="Arial" w:hAnsi="Arial" w:cs="Arial"/>
          <w:sz w:val="24"/>
          <w:szCs w:val="24"/>
        </w:rPr>
      </w:pPr>
      <w:r>
        <w:rPr>
          <w:rFonts w:ascii="Arial" w:hAnsi="Arial" w:cs="Arial"/>
          <w:b/>
          <w:bCs/>
          <w:sz w:val="24"/>
          <w:szCs w:val="24"/>
        </w:rPr>
        <w:t>16.5</w:t>
      </w:r>
      <w:r>
        <w:rPr>
          <w:rFonts w:ascii="Arial" w:hAnsi="Arial" w:cs="Arial"/>
          <w:sz w:val="24"/>
          <w:szCs w:val="24"/>
        </w:rPr>
        <w:t xml:space="preserve">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p>
    <w:p w14:paraId="45DB1133">
      <w:pPr>
        <w:spacing w:line="276" w:lineRule="auto"/>
        <w:jc w:val="both"/>
        <w:rPr>
          <w:rFonts w:ascii="Arial" w:hAnsi="Arial" w:cs="Arial"/>
          <w:sz w:val="24"/>
          <w:szCs w:val="24"/>
        </w:rPr>
      </w:pPr>
      <w:r>
        <w:rPr>
          <w:rFonts w:ascii="Arial" w:hAnsi="Arial" w:cs="Arial"/>
          <w:b/>
          <w:bCs/>
          <w:sz w:val="24"/>
          <w:szCs w:val="24"/>
        </w:rPr>
        <w:t>16.6</w:t>
      </w:r>
      <w:r>
        <w:rPr>
          <w:rFonts w:ascii="Arial" w:hAnsi="Arial" w:cs="Arial"/>
          <w:sz w:val="24"/>
          <w:szCs w:val="24"/>
        </w:rPr>
        <w:t xml:space="preserve"> Uma vez notificado, o Contratado realizará a reparação ou substituição dos bens que apresentarem vício ou defeito no prazo de até </w:t>
      </w:r>
      <w:r>
        <w:rPr>
          <w:rFonts w:ascii="Arial" w:hAnsi="Arial" w:cs="Arial"/>
          <w:sz w:val="24"/>
          <w:szCs w:val="24"/>
          <w:highlight w:val="darkGray"/>
        </w:rPr>
        <w:t>___ (_____)</w:t>
      </w:r>
      <w:r>
        <w:rPr>
          <w:rFonts w:ascii="Arial" w:hAnsi="Arial" w:cs="Arial"/>
          <w:sz w:val="24"/>
          <w:szCs w:val="24"/>
        </w:rPr>
        <w:t xml:space="preserve"> dias úteis, contados a partir da data de retirada do equipamento das dependências da Administração pelo Contratado ou pela assistência técnica autorizada.</w:t>
      </w:r>
    </w:p>
    <w:p w14:paraId="252EA0DB">
      <w:pPr>
        <w:spacing w:line="276" w:lineRule="auto"/>
        <w:jc w:val="both"/>
        <w:rPr>
          <w:rFonts w:ascii="Arial" w:hAnsi="Arial" w:cs="Arial"/>
          <w:sz w:val="24"/>
          <w:szCs w:val="24"/>
        </w:rPr>
      </w:pPr>
      <w:r>
        <w:rPr>
          <w:rFonts w:ascii="Arial" w:hAnsi="Arial" w:cs="Arial"/>
          <w:b/>
          <w:bCs/>
          <w:sz w:val="24"/>
          <w:szCs w:val="24"/>
        </w:rPr>
        <w:t>16.7</w:t>
      </w:r>
      <w:r>
        <w:rPr>
          <w:rFonts w:ascii="Arial" w:hAnsi="Arial" w:cs="Arial"/>
          <w:sz w:val="24"/>
          <w:szCs w:val="24"/>
        </w:rPr>
        <w:t xml:space="preserve"> O prazo indicado no subitem anterior, durante seu transcurso, poderá ser prorrogado uma única vez, por igual período, mediante solicitação escrita e justificada do Contratado, aceita pelo Contratante.</w:t>
      </w:r>
    </w:p>
    <w:p w14:paraId="79106F09">
      <w:pPr>
        <w:spacing w:line="276" w:lineRule="auto"/>
        <w:jc w:val="both"/>
        <w:rPr>
          <w:rFonts w:ascii="Arial" w:hAnsi="Arial" w:cs="Arial"/>
          <w:sz w:val="24"/>
          <w:szCs w:val="24"/>
        </w:rPr>
      </w:pPr>
      <w:r>
        <w:rPr>
          <w:rFonts w:ascii="Arial" w:hAnsi="Arial" w:cs="Arial"/>
          <w:b/>
          <w:bCs/>
          <w:sz w:val="24"/>
          <w:szCs w:val="24"/>
        </w:rPr>
        <w:t>16.8</w:t>
      </w:r>
      <w:r>
        <w:rPr>
          <w:rFonts w:ascii="Arial" w:hAnsi="Arial" w:cs="Arial"/>
          <w:sz w:val="24"/>
          <w:szCs w:val="24"/>
        </w:rPr>
        <w:t xml:space="preserve"> 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w:t>
      </w:r>
    </w:p>
    <w:p w14:paraId="6191EF06">
      <w:pPr>
        <w:spacing w:line="276" w:lineRule="auto"/>
        <w:jc w:val="both"/>
        <w:rPr>
          <w:rFonts w:ascii="Arial" w:hAnsi="Arial" w:cs="Arial"/>
          <w:sz w:val="24"/>
          <w:szCs w:val="24"/>
        </w:rPr>
      </w:pPr>
      <w:r>
        <w:rPr>
          <w:rFonts w:ascii="Arial" w:hAnsi="Arial" w:cs="Arial"/>
          <w:b/>
          <w:bCs/>
          <w:sz w:val="24"/>
          <w:szCs w:val="24"/>
        </w:rPr>
        <w:t>16.9</w:t>
      </w:r>
      <w:r>
        <w:rPr>
          <w:rFonts w:ascii="Arial" w:hAnsi="Arial" w:cs="Arial"/>
          <w:sz w:val="24"/>
          <w:szCs w:val="24"/>
        </w:rPr>
        <w:t xml:space="preserve"> 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w:t>
      </w:r>
    </w:p>
    <w:p w14:paraId="4626CD0C">
      <w:pPr>
        <w:spacing w:line="276" w:lineRule="auto"/>
        <w:jc w:val="both"/>
        <w:rPr>
          <w:rFonts w:ascii="Arial" w:hAnsi="Arial" w:cs="Arial"/>
          <w:sz w:val="24"/>
          <w:szCs w:val="24"/>
        </w:rPr>
      </w:pPr>
      <w:r>
        <w:rPr>
          <w:rFonts w:ascii="Arial" w:hAnsi="Arial" w:cs="Arial"/>
          <w:b/>
          <w:bCs/>
          <w:sz w:val="24"/>
          <w:szCs w:val="24"/>
        </w:rPr>
        <w:t>16.10</w:t>
      </w:r>
      <w:r>
        <w:rPr>
          <w:rFonts w:ascii="Arial" w:hAnsi="Arial" w:cs="Arial"/>
          <w:sz w:val="24"/>
          <w:szCs w:val="24"/>
        </w:rPr>
        <w:t xml:space="preserve"> O custo referente ao transporte dos equipamentos cobertos pela garantia será de responsabilidade do Contratado.</w:t>
      </w:r>
    </w:p>
    <w:p w14:paraId="33856186">
      <w:pPr>
        <w:spacing w:line="276" w:lineRule="auto"/>
        <w:jc w:val="both"/>
        <w:rPr>
          <w:rFonts w:ascii="Arial" w:hAnsi="Arial" w:cs="Arial"/>
          <w:sz w:val="24"/>
          <w:szCs w:val="24"/>
        </w:rPr>
      </w:pPr>
      <w:r>
        <w:rPr>
          <w:rFonts w:ascii="Arial" w:hAnsi="Arial" w:cs="Arial"/>
          <w:b/>
          <w:bCs/>
          <w:sz w:val="24"/>
          <w:szCs w:val="24"/>
        </w:rPr>
        <w:t>16.11</w:t>
      </w:r>
      <w:r>
        <w:rPr>
          <w:rFonts w:ascii="Arial" w:hAnsi="Arial" w:cs="Arial"/>
          <w:sz w:val="24"/>
          <w:szCs w:val="24"/>
        </w:rPr>
        <w:t xml:space="preserve"> 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3FB23F54">
      <w:pPr>
        <w:spacing w:line="276" w:lineRule="auto"/>
        <w:jc w:val="both"/>
        <w:rPr>
          <w:rFonts w:ascii="Arial" w:hAnsi="Arial" w:cs="Arial"/>
          <w:sz w:val="24"/>
          <w:szCs w:val="24"/>
        </w:rPr>
      </w:pPr>
    </w:p>
    <w:p w14:paraId="537E1D58">
      <w:pPr>
        <w:spacing w:after="0" w:line="276" w:lineRule="auto"/>
        <w:jc w:val="both"/>
        <w:rPr>
          <w:rFonts w:ascii="Arial" w:hAnsi="Arial" w:cs="Arial"/>
          <w:b/>
          <w:bCs/>
          <w:sz w:val="24"/>
          <w:szCs w:val="24"/>
        </w:rPr>
      </w:pPr>
      <w:r>
        <w:rPr>
          <w:rFonts w:ascii="Arial" w:hAnsi="Arial" w:cs="Arial"/>
          <w:b/>
          <w:bCs/>
          <w:sz w:val="24"/>
          <w:szCs w:val="24"/>
        </w:rPr>
        <w:t>17. VIGÊNCIA</w:t>
      </w:r>
    </w:p>
    <w:p w14:paraId="4D302CC3">
      <w:pPr>
        <w:spacing w:after="0" w:line="276" w:lineRule="auto"/>
        <w:jc w:val="both"/>
        <w:rPr>
          <w:rFonts w:ascii="Arial" w:hAnsi="Arial" w:cs="Arial"/>
          <w:sz w:val="24"/>
          <w:szCs w:val="24"/>
        </w:rPr>
      </w:pPr>
    </w:p>
    <w:p w14:paraId="20CC7DB2">
      <w:pPr>
        <w:spacing w:line="276" w:lineRule="auto"/>
        <w:jc w:val="both"/>
        <w:rPr>
          <w:rFonts w:ascii="Arial" w:hAnsi="Arial" w:cs="Arial"/>
          <w:sz w:val="24"/>
          <w:szCs w:val="24"/>
        </w:rPr>
      </w:pPr>
      <w:r>
        <w:rPr>
          <w:rFonts w:ascii="Arial" w:hAnsi="Arial" w:cs="Arial"/>
          <w:sz w:val="24"/>
          <w:szCs w:val="24"/>
          <w:highlight w:val="darkGray"/>
        </w:rPr>
        <w:t>Se HOUVER instrumento de contrato, incluir o texto abaixo:</w:t>
      </w:r>
    </w:p>
    <w:p w14:paraId="74C6F494">
      <w:pPr>
        <w:spacing w:after="0" w:line="276" w:lineRule="auto"/>
        <w:jc w:val="both"/>
        <w:rPr>
          <w:rFonts w:ascii="Arial" w:hAnsi="Arial" w:cs="Arial"/>
          <w:sz w:val="24"/>
          <w:szCs w:val="24"/>
        </w:rPr>
      </w:pPr>
    </w:p>
    <w:p w14:paraId="7B0A89C9">
      <w:pPr>
        <w:spacing w:line="276" w:lineRule="auto"/>
        <w:jc w:val="both"/>
        <w:rPr>
          <w:rFonts w:ascii="Arial" w:hAnsi="Arial" w:cs="Arial"/>
          <w:sz w:val="24"/>
          <w:szCs w:val="24"/>
        </w:rPr>
      </w:pPr>
      <w:r>
        <w:rPr>
          <w:rFonts w:ascii="Arial" w:hAnsi="Arial" w:cs="Arial"/>
          <w:b/>
          <w:bCs/>
          <w:sz w:val="24"/>
          <w:szCs w:val="24"/>
        </w:rPr>
        <w:t>17.1</w:t>
      </w:r>
      <w:r>
        <w:rPr>
          <w:rFonts w:ascii="Arial" w:hAnsi="Arial" w:cs="Arial"/>
          <w:sz w:val="24"/>
          <w:szCs w:val="24"/>
        </w:rPr>
        <w:t xml:space="preserve"> A vigência contratual será de </w:t>
      </w:r>
      <w:r>
        <w:rPr>
          <w:rFonts w:ascii="Arial" w:hAnsi="Arial" w:cs="Arial"/>
          <w:sz w:val="24"/>
          <w:szCs w:val="24"/>
          <w:highlight w:val="darkGray"/>
        </w:rPr>
        <w:t>XX (xxxx) meses</w:t>
      </w:r>
      <w:r>
        <w:rPr>
          <w:rFonts w:ascii="Arial" w:hAnsi="Arial" w:cs="Arial"/>
          <w:sz w:val="24"/>
          <w:szCs w:val="24"/>
        </w:rPr>
        <w:t>, contados a partir da data de sua publicação no PNCP, considerando-se o previsto no artigo 94, da Lei 14.133/2021, que estabelece como condição para sua eficácia e visando não haver divergências entre início da vigência e da eficácia. O comprovante da publicação no PNCP deverá ser anexado ao e-Protocolo e encaminhado juntamente com o contrato para a Contratada.</w:t>
      </w:r>
    </w:p>
    <w:p w14:paraId="05FBB11D">
      <w:pPr>
        <w:spacing w:line="276" w:lineRule="auto"/>
        <w:jc w:val="both"/>
        <w:rPr>
          <w:rFonts w:ascii="Arial" w:hAnsi="Arial" w:cs="Arial"/>
          <w:sz w:val="24"/>
          <w:szCs w:val="24"/>
        </w:rPr>
      </w:pPr>
      <w:r>
        <w:rPr>
          <w:rFonts w:ascii="Arial" w:hAnsi="Arial" w:cs="Arial"/>
          <w:b/>
          <w:bCs/>
          <w:sz w:val="24"/>
          <w:szCs w:val="24"/>
        </w:rPr>
        <w:t>17.2</w:t>
      </w:r>
      <w:r>
        <w:rPr>
          <w:rFonts w:ascii="Arial" w:hAnsi="Arial" w:cs="Arial"/>
          <w:sz w:val="24"/>
          <w:szCs w:val="24"/>
        </w:rPr>
        <w:t xml:space="preserve"> Não obstante, oportunamente, visando aplicar o princípio da eficiência a Administração poderá reanalisar a possibilidade de substituição do instrumento contratual aqui tratado por outro instrumento hábil. </w:t>
      </w:r>
    </w:p>
    <w:p w14:paraId="5CF3F949">
      <w:pPr>
        <w:spacing w:line="276" w:lineRule="auto"/>
        <w:jc w:val="both"/>
        <w:rPr>
          <w:rFonts w:ascii="Arial" w:hAnsi="Arial" w:cs="Arial"/>
          <w:sz w:val="24"/>
          <w:szCs w:val="24"/>
        </w:rPr>
      </w:pPr>
    </w:p>
    <w:p w14:paraId="1C0CC92A">
      <w:pPr>
        <w:spacing w:line="276" w:lineRule="auto"/>
        <w:jc w:val="both"/>
        <w:rPr>
          <w:rFonts w:ascii="Arial" w:hAnsi="Arial" w:cs="Arial"/>
          <w:sz w:val="24"/>
          <w:szCs w:val="24"/>
        </w:rPr>
      </w:pPr>
      <w:r>
        <w:rPr>
          <w:rFonts w:ascii="Arial" w:hAnsi="Arial" w:cs="Arial"/>
          <w:sz w:val="24"/>
          <w:szCs w:val="24"/>
          <w:highlight w:val="darkGray"/>
        </w:rPr>
        <w:t>Se não houver formalização de contrato, inserir o texto a seguir:</w:t>
      </w:r>
    </w:p>
    <w:p w14:paraId="796049E0">
      <w:pPr>
        <w:spacing w:line="276" w:lineRule="auto"/>
        <w:jc w:val="both"/>
        <w:rPr>
          <w:rFonts w:ascii="Arial" w:hAnsi="Arial" w:cs="Arial"/>
          <w:sz w:val="24"/>
          <w:szCs w:val="24"/>
        </w:rPr>
      </w:pPr>
    </w:p>
    <w:p w14:paraId="1A71BEC4">
      <w:pPr>
        <w:spacing w:line="276" w:lineRule="auto"/>
        <w:jc w:val="both"/>
        <w:rPr>
          <w:rFonts w:ascii="Arial" w:hAnsi="Arial" w:cs="Arial"/>
          <w:sz w:val="24"/>
          <w:szCs w:val="24"/>
        </w:rPr>
      </w:pPr>
      <w:r>
        <w:rPr>
          <w:rFonts w:ascii="Arial" w:hAnsi="Arial" w:cs="Arial"/>
          <w:b/>
          <w:bCs/>
          <w:sz w:val="24"/>
          <w:szCs w:val="24"/>
        </w:rPr>
        <w:t>17.1</w:t>
      </w:r>
      <w:r>
        <w:rPr>
          <w:rFonts w:ascii="Arial" w:hAnsi="Arial" w:cs="Arial"/>
          <w:sz w:val="24"/>
          <w:szCs w:val="24"/>
        </w:rPr>
        <w:t xml:space="preserve"> Na presente aquisição o instrumento de contrato será substituído pela Nota de Empenho e Anexo.</w:t>
      </w:r>
    </w:p>
    <w:p w14:paraId="44E94DD0">
      <w:pPr>
        <w:spacing w:line="276" w:lineRule="auto"/>
        <w:jc w:val="both"/>
        <w:rPr>
          <w:rFonts w:ascii="Arial" w:hAnsi="Arial" w:cs="Arial"/>
          <w:sz w:val="24"/>
          <w:szCs w:val="24"/>
        </w:rPr>
      </w:pPr>
      <w:r>
        <w:rPr>
          <w:rFonts w:ascii="Arial" w:hAnsi="Arial" w:cs="Arial"/>
          <w:b/>
          <w:bCs/>
          <w:sz w:val="24"/>
          <w:szCs w:val="24"/>
        </w:rPr>
        <w:t>17.2</w:t>
      </w:r>
      <w:r>
        <w:rPr>
          <w:rFonts w:ascii="Arial" w:hAnsi="Arial" w:cs="Arial"/>
          <w:sz w:val="24"/>
          <w:szCs w:val="24"/>
        </w:rPr>
        <w:t xml:space="preserve"> Não obstante, oportunamente, visando aplicar o princípio da eficiência a Administração poderá reunir a aquisição de objetos semelhantes a este e reanalisar a possibilidade de substituição do instrumento contratual. </w:t>
      </w:r>
    </w:p>
    <w:p w14:paraId="32D4C488">
      <w:pPr>
        <w:spacing w:line="276" w:lineRule="auto"/>
        <w:jc w:val="both"/>
        <w:rPr>
          <w:rFonts w:ascii="Arial" w:hAnsi="Arial" w:cs="Arial"/>
          <w:sz w:val="24"/>
          <w:szCs w:val="24"/>
        </w:rPr>
      </w:pPr>
    </w:p>
    <w:p w14:paraId="0FBA16A1">
      <w:pPr>
        <w:spacing w:line="276" w:lineRule="auto"/>
        <w:jc w:val="both"/>
        <w:rPr>
          <w:rFonts w:ascii="Arial" w:hAnsi="Arial" w:cs="Arial"/>
          <w:sz w:val="24"/>
          <w:szCs w:val="24"/>
        </w:rPr>
      </w:pPr>
      <w:r>
        <w:rPr>
          <w:rFonts w:ascii="Arial" w:hAnsi="Arial" w:cs="Arial"/>
          <w:sz w:val="24"/>
          <w:szCs w:val="24"/>
          <w:highlight w:val="darkGray"/>
        </w:rPr>
        <w:t>No caso de fornecimento contínuo de bens a minuta do contrato deverá prever a possibilidade de prorrogação, respeitado o disposto nos arts. 106 e 107 da Lei Federal n.º 14.133, de 2021. Quando se optar pela possibilidade de prorrogação, o item 17.1 e o 8.1 do contrato deverá ser redigido da seguinte forma:</w:t>
      </w:r>
    </w:p>
    <w:p w14:paraId="72BC38B6">
      <w:pPr>
        <w:spacing w:line="276" w:lineRule="auto"/>
        <w:jc w:val="both"/>
        <w:rPr>
          <w:rFonts w:ascii="Arial" w:hAnsi="Arial" w:cs="Arial"/>
          <w:sz w:val="24"/>
          <w:szCs w:val="24"/>
        </w:rPr>
      </w:pPr>
      <w:r>
        <w:rPr>
          <w:rFonts w:ascii="Arial" w:hAnsi="Arial" w:cs="Arial"/>
          <w:b/>
          <w:bCs/>
          <w:sz w:val="24"/>
          <w:szCs w:val="24"/>
        </w:rPr>
        <w:t>17.1</w:t>
      </w:r>
      <w:r>
        <w:rPr>
          <w:rFonts w:ascii="Arial" w:hAnsi="Arial" w:cs="Arial"/>
          <w:sz w:val="24"/>
          <w:szCs w:val="24"/>
        </w:rPr>
        <w:t xml:space="preserve"> O contrato terá vigência de </w:t>
      </w:r>
      <w:r>
        <w:rPr>
          <w:rFonts w:ascii="Arial" w:hAnsi="Arial" w:cs="Arial"/>
          <w:sz w:val="24"/>
          <w:szCs w:val="24"/>
          <w:highlight w:val="darkGray"/>
        </w:rPr>
        <w:t>[XXXX]</w:t>
      </w:r>
      <w:r>
        <w:rPr>
          <w:rFonts w:ascii="Arial" w:hAnsi="Arial" w:cs="Arial"/>
          <w:sz w:val="24"/>
          <w:szCs w:val="24"/>
        </w:rPr>
        <w:t>, podendo ser prorrogado por meio de Termo Aditivo, por um ou mais períodos, desde que satisfeitos os requisitos dos artigos 106 e 107 da Lei Federal n.º 14.133/2021.</w:t>
      </w:r>
    </w:p>
    <w:p w14:paraId="1C21C314">
      <w:pPr>
        <w:spacing w:line="276" w:lineRule="auto"/>
        <w:jc w:val="both"/>
        <w:rPr>
          <w:rFonts w:ascii="Arial" w:hAnsi="Arial" w:cs="Arial"/>
          <w:sz w:val="24"/>
          <w:szCs w:val="24"/>
        </w:rPr>
      </w:pPr>
      <w:r>
        <w:rPr>
          <w:rFonts w:ascii="Arial" w:hAnsi="Arial" w:cs="Arial"/>
          <w:sz w:val="24"/>
          <w:szCs w:val="24"/>
          <w:highlight w:val="darkGray"/>
        </w:rPr>
        <w:t>No caso de contrato de escopo, deverá ser incluído o item 17.1.1 com a seguinte redação:</w:t>
      </w:r>
    </w:p>
    <w:p w14:paraId="60DF1B79">
      <w:pPr>
        <w:spacing w:line="276" w:lineRule="auto"/>
        <w:jc w:val="both"/>
        <w:rPr>
          <w:rFonts w:ascii="Arial" w:hAnsi="Arial" w:cs="Arial"/>
          <w:sz w:val="24"/>
          <w:szCs w:val="24"/>
        </w:rPr>
      </w:pPr>
      <w:r>
        <w:rPr>
          <w:rFonts w:ascii="Arial" w:hAnsi="Arial" w:cs="Arial"/>
          <w:b/>
          <w:bCs/>
          <w:sz w:val="24"/>
          <w:szCs w:val="24"/>
        </w:rPr>
        <w:t>17.1.1</w:t>
      </w:r>
      <w:r>
        <w:rPr>
          <w:rFonts w:ascii="Arial" w:hAnsi="Arial" w:cs="Arial"/>
          <w:sz w:val="24"/>
          <w:szCs w:val="24"/>
        </w:rPr>
        <w:t xml:space="preserve"> O prazo de vigência será automaticamente prorrogado quando seu objeto não for concluído no período firmado no contrato.</w:t>
      </w:r>
    </w:p>
    <w:p w14:paraId="252A74A2">
      <w:pPr>
        <w:spacing w:line="276" w:lineRule="auto"/>
        <w:jc w:val="both"/>
        <w:rPr>
          <w:rFonts w:ascii="Arial" w:hAnsi="Arial" w:cs="Arial"/>
          <w:sz w:val="24"/>
          <w:szCs w:val="24"/>
        </w:rPr>
      </w:pPr>
      <w:r>
        <w:rPr>
          <w:rFonts w:ascii="Arial" w:hAnsi="Arial" w:cs="Arial"/>
          <w:b/>
          <w:bCs/>
          <w:sz w:val="24"/>
          <w:szCs w:val="24"/>
        </w:rPr>
        <w:t>17.1.1.1</w:t>
      </w:r>
      <w:r>
        <w:rPr>
          <w:rFonts w:ascii="Arial" w:hAnsi="Arial" w:cs="Arial"/>
          <w:sz w:val="24"/>
          <w:szCs w:val="24"/>
        </w:rPr>
        <w:t xml:space="preserve"> Quando a não conclusão decorrer de culpa do contratado:</w:t>
      </w:r>
    </w:p>
    <w:p w14:paraId="55E2ABB5">
      <w:pPr>
        <w:spacing w:line="276" w:lineRule="auto"/>
        <w:jc w:val="both"/>
        <w:rPr>
          <w:rFonts w:ascii="Arial" w:hAnsi="Arial" w:cs="Arial"/>
          <w:sz w:val="24"/>
          <w:szCs w:val="24"/>
        </w:rPr>
      </w:pPr>
      <w:r>
        <w:rPr>
          <w:rFonts w:ascii="Arial" w:hAnsi="Arial" w:cs="Arial"/>
          <w:sz w:val="24"/>
          <w:szCs w:val="24"/>
        </w:rPr>
        <w:t>a) o contratado será constituído em mora, aplicáveis a ele as respectivas sanções administrativas;</w:t>
      </w:r>
    </w:p>
    <w:p w14:paraId="4C2583E9">
      <w:pPr>
        <w:spacing w:line="276" w:lineRule="auto"/>
        <w:jc w:val="both"/>
        <w:rPr>
          <w:rFonts w:ascii="Arial" w:hAnsi="Arial" w:cs="Arial"/>
          <w:sz w:val="24"/>
          <w:szCs w:val="24"/>
        </w:rPr>
      </w:pPr>
      <w:r>
        <w:rPr>
          <w:rFonts w:ascii="Arial" w:hAnsi="Arial" w:cs="Arial"/>
          <w:sz w:val="24"/>
          <w:szCs w:val="24"/>
        </w:rPr>
        <w:t>b) a Administração poderá optar pela extinção do contrato e, nesse caso, adotará as medidas admitidas em lei para a continuidade da execução contratual.</w:t>
      </w:r>
    </w:p>
    <w:p w14:paraId="33BF3C78">
      <w:pPr>
        <w:spacing w:line="276" w:lineRule="auto"/>
        <w:jc w:val="both"/>
        <w:rPr>
          <w:rFonts w:ascii="Arial" w:hAnsi="Arial" w:cs="Arial"/>
          <w:sz w:val="24"/>
          <w:szCs w:val="24"/>
        </w:rPr>
      </w:pPr>
    </w:p>
    <w:p w14:paraId="768CD8C3">
      <w:pPr>
        <w:spacing w:after="0" w:line="276" w:lineRule="auto"/>
        <w:jc w:val="both"/>
        <w:rPr>
          <w:rFonts w:ascii="Arial" w:hAnsi="Arial" w:cs="Arial"/>
          <w:b/>
          <w:bCs/>
          <w:sz w:val="24"/>
          <w:szCs w:val="24"/>
        </w:rPr>
      </w:pPr>
      <w:r>
        <w:rPr>
          <w:rFonts w:ascii="Arial" w:hAnsi="Arial" w:cs="Arial"/>
          <w:b/>
          <w:bCs/>
          <w:sz w:val="24"/>
          <w:szCs w:val="24"/>
        </w:rPr>
        <w:t>18. DO REAJUSTAMENTO</w:t>
      </w:r>
    </w:p>
    <w:p w14:paraId="3D774C15">
      <w:pPr>
        <w:spacing w:after="0" w:line="276" w:lineRule="auto"/>
        <w:jc w:val="both"/>
        <w:rPr>
          <w:rFonts w:ascii="Arial" w:hAnsi="Arial" w:cs="Arial"/>
          <w:b/>
          <w:bCs/>
          <w:sz w:val="24"/>
          <w:szCs w:val="24"/>
        </w:rPr>
      </w:pPr>
    </w:p>
    <w:p w14:paraId="0998E419">
      <w:pPr>
        <w:spacing w:after="0" w:line="276" w:lineRule="auto"/>
        <w:jc w:val="both"/>
        <w:rPr>
          <w:rFonts w:ascii="Arial" w:hAnsi="Arial" w:cs="Arial"/>
          <w:sz w:val="24"/>
          <w:szCs w:val="24"/>
        </w:rPr>
      </w:pPr>
      <w:r>
        <w:rPr>
          <w:rFonts w:ascii="Arial" w:hAnsi="Arial" w:cs="Arial"/>
          <w:sz w:val="24"/>
          <w:szCs w:val="24"/>
          <w:highlight w:val="darkGray"/>
        </w:rPr>
        <w:t>Em aquisições em que o instrumento de contrato puder ser substituído por outro instrumento hábil, nos termos do art. 95 da Lei nº 14.133/2021, o índice de reajustamento não constará no Termo de Referência:</w:t>
      </w:r>
    </w:p>
    <w:p w14:paraId="309F147A">
      <w:pPr>
        <w:spacing w:after="0" w:line="276" w:lineRule="auto"/>
        <w:jc w:val="both"/>
        <w:rPr>
          <w:rFonts w:ascii="Arial" w:hAnsi="Arial" w:cs="Arial"/>
          <w:sz w:val="24"/>
          <w:szCs w:val="24"/>
        </w:rPr>
      </w:pPr>
    </w:p>
    <w:p w14:paraId="62F71AFD">
      <w:pPr>
        <w:spacing w:line="276" w:lineRule="auto"/>
        <w:jc w:val="both"/>
        <w:rPr>
          <w:rFonts w:ascii="Arial" w:hAnsi="Arial" w:cs="Arial"/>
          <w:sz w:val="24"/>
          <w:szCs w:val="24"/>
        </w:rPr>
      </w:pPr>
      <w:r>
        <w:rPr>
          <w:rFonts w:ascii="Arial" w:hAnsi="Arial" w:cs="Arial"/>
          <w:b/>
          <w:bCs/>
          <w:sz w:val="24"/>
          <w:szCs w:val="24"/>
        </w:rPr>
        <w:t>18.1</w:t>
      </w:r>
      <w:r>
        <w:rPr>
          <w:rFonts w:ascii="Arial" w:hAnsi="Arial" w:cs="Arial"/>
          <w:sz w:val="24"/>
          <w:szCs w:val="24"/>
        </w:rPr>
        <w:t xml:space="preserve"> Não se aplica reajuste para a presente contratação, visto que no presente caso o instrumento de contrato pode ser substituído por outro instrumento hábil, nos termos do art. 95 da Lei nº 14.133/2021. Contudo, visando aplicar o princípio da eficiência, a Administração poderá reunir a aquisição de objetos semelhantes a este e reanalisar a possibilidade de substituição do instrumento contratual. </w:t>
      </w:r>
    </w:p>
    <w:p w14:paraId="35A69B56">
      <w:pPr>
        <w:spacing w:after="0" w:line="276" w:lineRule="auto"/>
        <w:jc w:val="both"/>
        <w:rPr>
          <w:rFonts w:ascii="Arial" w:hAnsi="Arial" w:cs="Arial"/>
          <w:b/>
          <w:bCs/>
          <w:sz w:val="24"/>
          <w:szCs w:val="24"/>
        </w:rPr>
      </w:pPr>
      <w:r>
        <w:rPr>
          <w:rFonts w:ascii="Arial" w:hAnsi="Arial" w:cs="Arial"/>
          <w:b/>
          <w:bCs/>
          <w:sz w:val="24"/>
          <w:szCs w:val="24"/>
          <w:highlight w:val="darkGray"/>
        </w:rPr>
        <w:t>OU</w:t>
      </w:r>
    </w:p>
    <w:p w14:paraId="1EACA888">
      <w:pPr>
        <w:spacing w:after="0" w:line="276" w:lineRule="auto"/>
        <w:jc w:val="both"/>
        <w:rPr>
          <w:rFonts w:ascii="Arial" w:hAnsi="Arial" w:cs="Arial"/>
          <w:sz w:val="24"/>
          <w:szCs w:val="24"/>
        </w:rPr>
      </w:pPr>
    </w:p>
    <w:p w14:paraId="73EB0D93">
      <w:pPr>
        <w:spacing w:after="0" w:line="276" w:lineRule="auto"/>
        <w:jc w:val="both"/>
        <w:rPr>
          <w:rFonts w:ascii="Arial" w:hAnsi="Arial" w:cs="Arial"/>
          <w:sz w:val="24"/>
          <w:szCs w:val="24"/>
        </w:rPr>
      </w:pPr>
      <w:r>
        <w:rPr>
          <w:rFonts w:ascii="Arial" w:hAnsi="Arial" w:cs="Arial"/>
          <w:sz w:val="24"/>
          <w:szCs w:val="24"/>
          <w:highlight w:val="darkGray"/>
        </w:rPr>
        <w:t>Se HOUVER instrumento de contrato, incluir o texto abaixo:</w:t>
      </w:r>
    </w:p>
    <w:p w14:paraId="0D2E55EF">
      <w:pPr>
        <w:spacing w:after="0" w:line="276" w:lineRule="auto"/>
        <w:jc w:val="both"/>
        <w:rPr>
          <w:rFonts w:ascii="Arial" w:hAnsi="Arial" w:cs="Arial"/>
          <w:sz w:val="24"/>
          <w:szCs w:val="24"/>
        </w:rPr>
      </w:pPr>
    </w:p>
    <w:p w14:paraId="14107F95">
      <w:pPr>
        <w:spacing w:line="276" w:lineRule="auto"/>
        <w:jc w:val="both"/>
        <w:rPr>
          <w:rFonts w:ascii="Arial" w:hAnsi="Arial" w:cs="Arial"/>
          <w:sz w:val="24"/>
          <w:szCs w:val="24"/>
        </w:rPr>
      </w:pPr>
      <w:r>
        <w:rPr>
          <w:rFonts w:ascii="Arial" w:hAnsi="Arial" w:cs="Arial"/>
          <w:b/>
          <w:bCs/>
          <w:sz w:val="24"/>
          <w:szCs w:val="24"/>
        </w:rPr>
        <w:t>18.1</w:t>
      </w:r>
      <w:r>
        <w:rPr>
          <w:rFonts w:ascii="Arial" w:hAnsi="Arial" w:cs="Arial"/>
          <w:sz w:val="24"/>
          <w:szCs w:val="24"/>
        </w:rPr>
        <w:t xml:space="preserve"> A periodicidade de reajuste do valor deste contrato será anual, conforme disposto na Lei Federal n.º 10.192, de 2001, utilizando-se o Índice Nacional de Preços ao Consumidor Amplo (</w:t>
      </w:r>
      <w:r>
        <w:rPr>
          <w:rFonts w:ascii="Arial" w:hAnsi="Arial" w:cs="Arial"/>
          <w:sz w:val="24"/>
          <w:szCs w:val="24"/>
          <w:u w:val="single"/>
        </w:rPr>
        <w:t>IPCA</w:t>
      </w:r>
      <w:r>
        <w:rPr>
          <w:rFonts w:ascii="Arial" w:hAnsi="Arial" w:cs="Arial"/>
          <w:sz w:val="24"/>
          <w:szCs w:val="24"/>
        </w:rPr>
        <w:t xml:space="preserve">), índice amplamente utilizado para medir a variação dos preços de produtos para consumo. </w:t>
      </w:r>
    </w:p>
    <w:p w14:paraId="7114A146">
      <w:pPr>
        <w:spacing w:line="276" w:lineRule="auto"/>
        <w:jc w:val="both"/>
        <w:rPr>
          <w:rFonts w:ascii="Arial" w:hAnsi="Arial" w:cs="Arial"/>
          <w:sz w:val="24"/>
          <w:szCs w:val="24"/>
        </w:rPr>
      </w:pPr>
      <w:r>
        <w:rPr>
          <w:rFonts w:ascii="Arial" w:hAnsi="Arial" w:cs="Arial"/>
          <w:b/>
          <w:bCs/>
          <w:sz w:val="24"/>
          <w:szCs w:val="24"/>
        </w:rPr>
        <w:t>18.1.1</w:t>
      </w:r>
      <w:r>
        <w:rPr>
          <w:rFonts w:ascii="Arial" w:hAnsi="Arial" w:cs="Arial"/>
          <w:sz w:val="24"/>
          <w:szCs w:val="24"/>
        </w:rPr>
        <w:t xml:space="preserve"> A data-base do reajuste será vinculada à data do orçamento estimado.</w:t>
      </w:r>
    </w:p>
    <w:p w14:paraId="5982B124">
      <w:pPr>
        <w:spacing w:line="276" w:lineRule="auto"/>
        <w:jc w:val="both"/>
        <w:rPr>
          <w:rFonts w:ascii="Arial" w:hAnsi="Arial" w:cs="Arial"/>
          <w:sz w:val="24"/>
          <w:szCs w:val="24"/>
        </w:rPr>
      </w:pPr>
      <w:r>
        <w:rPr>
          <w:rFonts w:ascii="Arial" w:hAnsi="Arial" w:cs="Arial"/>
          <w:b/>
          <w:bCs/>
          <w:sz w:val="24"/>
          <w:szCs w:val="24"/>
        </w:rPr>
        <w:t>18.1.2</w:t>
      </w:r>
      <w:r>
        <w:rPr>
          <w:rFonts w:ascii="Arial" w:hAnsi="Arial" w:cs="Arial"/>
          <w:sz w:val="24"/>
          <w:szCs w:val="24"/>
        </w:rPr>
        <w:t xml:space="preserve"> O reajuste será concedido mediante simples apostila, conforme dispõe o art. 136 da Lei Federal n.º 14.133, de 2021.</w:t>
      </w:r>
    </w:p>
    <w:p w14:paraId="4A3D2A1F">
      <w:pPr>
        <w:spacing w:line="276" w:lineRule="auto"/>
        <w:jc w:val="both"/>
        <w:rPr>
          <w:rFonts w:ascii="Arial" w:hAnsi="Arial" w:cs="Arial"/>
          <w:sz w:val="24"/>
          <w:szCs w:val="24"/>
        </w:rPr>
      </w:pPr>
      <w:r>
        <w:rPr>
          <w:rFonts w:ascii="Arial" w:hAnsi="Arial" w:cs="Arial"/>
          <w:b/>
          <w:bCs/>
          <w:sz w:val="24"/>
          <w:szCs w:val="24"/>
        </w:rPr>
        <w:t>18.2</w:t>
      </w:r>
      <w:r>
        <w:rPr>
          <w:rFonts w:ascii="Arial" w:hAnsi="Arial" w:cs="Arial"/>
          <w:sz w:val="24"/>
          <w:szCs w:val="24"/>
        </w:rPr>
        <w:t xml:space="preserve"> Nos reajustes subsequentes ao primeiro, o interregno mínimo de um ano será contado a partir do último reajuste.</w:t>
      </w:r>
    </w:p>
    <w:p w14:paraId="5BA85684">
      <w:pPr>
        <w:spacing w:line="276" w:lineRule="auto"/>
        <w:jc w:val="both"/>
        <w:rPr>
          <w:rFonts w:ascii="Arial" w:hAnsi="Arial" w:cs="Arial"/>
          <w:sz w:val="24"/>
          <w:szCs w:val="24"/>
        </w:rPr>
      </w:pPr>
      <w:r>
        <w:rPr>
          <w:rFonts w:ascii="Arial" w:hAnsi="Arial" w:cs="Arial"/>
          <w:b/>
          <w:bCs/>
          <w:sz w:val="24"/>
          <w:szCs w:val="24"/>
        </w:rPr>
        <w:t>18.3</w:t>
      </w:r>
      <w:r>
        <w:rPr>
          <w:rFonts w:ascii="Arial" w:hAnsi="Arial" w:cs="Arial"/>
          <w:sz w:val="24"/>
          <w:szCs w:val="24"/>
        </w:rPr>
        <w:t xml:space="preserve"> Não serão admitidos apostilamentos com efeitos financeiros retroativos à data da sua assinatura.</w:t>
      </w:r>
    </w:p>
    <w:p w14:paraId="439A99B5">
      <w:pPr>
        <w:spacing w:line="276" w:lineRule="auto"/>
        <w:jc w:val="both"/>
        <w:rPr>
          <w:rFonts w:ascii="Arial" w:hAnsi="Arial" w:cs="Arial"/>
          <w:sz w:val="24"/>
          <w:szCs w:val="24"/>
        </w:rPr>
      </w:pPr>
      <w:r>
        <w:rPr>
          <w:rFonts w:ascii="Arial" w:hAnsi="Arial" w:cs="Arial"/>
          <w:b/>
          <w:bCs/>
          <w:sz w:val="24"/>
          <w:szCs w:val="24"/>
        </w:rPr>
        <w:t>18.4</w:t>
      </w:r>
      <w:r>
        <w:rPr>
          <w:rFonts w:ascii="Arial" w:hAnsi="Arial" w:cs="Arial"/>
          <w:sz w:val="24"/>
          <w:szCs w:val="24"/>
        </w:rPr>
        <w:t xml:space="preserve"> A concessão de reajustes não pagos na época oportuna será apurada por procedimento próprio.</w:t>
      </w:r>
    </w:p>
    <w:p w14:paraId="65E67AC2">
      <w:pPr>
        <w:spacing w:line="276" w:lineRule="auto"/>
        <w:jc w:val="both"/>
        <w:rPr>
          <w:rFonts w:ascii="Arial" w:hAnsi="Arial" w:cs="Arial"/>
          <w:sz w:val="24"/>
          <w:szCs w:val="24"/>
        </w:rPr>
      </w:pPr>
      <w:r>
        <w:rPr>
          <w:rFonts w:ascii="Arial" w:hAnsi="Arial" w:cs="Arial"/>
          <w:b/>
          <w:bCs/>
          <w:sz w:val="24"/>
          <w:szCs w:val="24"/>
        </w:rPr>
        <w:t>18.5</w:t>
      </w:r>
      <w:r>
        <w:rPr>
          <w:rFonts w:ascii="Arial" w:hAnsi="Arial" w:cs="Arial"/>
          <w:sz w:val="24"/>
          <w:szCs w:val="24"/>
        </w:rPr>
        <w:t xml:space="preserve"> Contudo, visando aplicar o princípio da eficiência, a Administração poderá reanalisar a possibilidade de substituição do instrumento contratual aqui tratado por outro instrumento hábil.</w:t>
      </w:r>
    </w:p>
    <w:p w14:paraId="6E245C19">
      <w:pPr>
        <w:spacing w:line="276" w:lineRule="auto"/>
        <w:jc w:val="both"/>
        <w:rPr>
          <w:rFonts w:ascii="Arial" w:hAnsi="Arial" w:cs="Arial"/>
          <w:sz w:val="24"/>
          <w:szCs w:val="24"/>
        </w:rPr>
      </w:pPr>
    </w:p>
    <w:p w14:paraId="64086250">
      <w:pPr>
        <w:spacing w:after="0" w:line="276" w:lineRule="auto"/>
        <w:jc w:val="both"/>
        <w:rPr>
          <w:rFonts w:ascii="Arial" w:hAnsi="Arial" w:cs="Arial"/>
          <w:b/>
          <w:bCs/>
          <w:sz w:val="24"/>
          <w:szCs w:val="24"/>
        </w:rPr>
      </w:pPr>
      <w:r>
        <w:rPr>
          <w:rFonts w:ascii="Arial" w:hAnsi="Arial" w:cs="Arial"/>
          <w:b/>
          <w:bCs/>
          <w:sz w:val="24"/>
          <w:szCs w:val="24"/>
        </w:rPr>
        <w:t>19. DOS RECURSOS ORÇAMENTÁRIOS</w:t>
      </w:r>
    </w:p>
    <w:p w14:paraId="7DC39104">
      <w:pPr>
        <w:spacing w:after="0" w:line="276" w:lineRule="auto"/>
        <w:jc w:val="both"/>
        <w:rPr>
          <w:rFonts w:ascii="Arial" w:hAnsi="Arial" w:cs="Arial"/>
          <w:sz w:val="24"/>
          <w:szCs w:val="24"/>
        </w:rPr>
      </w:pPr>
    </w:p>
    <w:p w14:paraId="36D186D5">
      <w:pPr>
        <w:spacing w:line="276" w:lineRule="auto"/>
        <w:jc w:val="both"/>
        <w:rPr>
          <w:rFonts w:ascii="Arial" w:hAnsi="Arial" w:cs="Arial"/>
          <w:sz w:val="24"/>
          <w:szCs w:val="24"/>
        </w:rPr>
      </w:pPr>
      <w:r>
        <w:rPr>
          <w:rFonts w:ascii="Arial" w:hAnsi="Arial" w:cs="Arial"/>
          <w:b/>
          <w:bCs/>
          <w:sz w:val="24"/>
          <w:szCs w:val="24"/>
        </w:rPr>
        <w:t>19.1</w:t>
      </w:r>
      <w:r>
        <w:rPr>
          <w:rFonts w:ascii="Arial" w:hAnsi="Arial" w:cs="Arial"/>
          <w:sz w:val="24"/>
          <w:szCs w:val="24"/>
        </w:rPr>
        <w:t xml:space="preserve"> As despesas decorrentes da presente contratação correrão à conta de recursos específicos consignados no Orçamento Geral do Estado deste exercício, na dotação abaixo discriminada:</w:t>
      </w:r>
    </w:p>
    <w:p w14:paraId="542F23DC">
      <w:pPr>
        <w:spacing w:line="276" w:lineRule="auto"/>
        <w:jc w:val="both"/>
        <w:rPr>
          <w:rFonts w:ascii="Arial" w:hAnsi="Arial" w:cs="Arial"/>
          <w:sz w:val="24"/>
          <w:szCs w:val="24"/>
        </w:rPr>
      </w:pPr>
      <w:r>
        <w:rPr>
          <w:rFonts w:ascii="Arial" w:hAnsi="Arial" w:cs="Arial"/>
          <w:sz w:val="24"/>
          <w:szCs w:val="24"/>
        </w:rPr>
        <w:t xml:space="preserve">Gestão/Unidade: </w:t>
      </w:r>
      <w:r>
        <w:rPr>
          <w:rFonts w:ascii="Arial" w:hAnsi="Arial" w:cs="Arial"/>
          <w:sz w:val="24"/>
          <w:szCs w:val="24"/>
          <w:highlight w:val="darkGray"/>
        </w:rPr>
        <w:t>(preencher conforme indicado na Declaração Orçamentária);</w:t>
      </w:r>
    </w:p>
    <w:p w14:paraId="0E8A6A10">
      <w:pPr>
        <w:spacing w:line="276" w:lineRule="auto"/>
        <w:jc w:val="both"/>
        <w:rPr>
          <w:rFonts w:ascii="Arial" w:hAnsi="Arial" w:cs="Arial"/>
          <w:sz w:val="24"/>
          <w:szCs w:val="24"/>
        </w:rPr>
      </w:pPr>
      <w:r>
        <w:rPr>
          <w:rFonts w:ascii="Arial" w:hAnsi="Arial" w:cs="Arial"/>
          <w:sz w:val="24"/>
          <w:szCs w:val="24"/>
        </w:rPr>
        <w:t xml:space="preserve">Fonte de Recursos: </w:t>
      </w:r>
      <w:r>
        <w:rPr>
          <w:rFonts w:ascii="Arial" w:hAnsi="Arial" w:cs="Arial"/>
          <w:sz w:val="24"/>
          <w:szCs w:val="24"/>
          <w:highlight w:val="darkGray"/>
        </w:rPr>
        <w:t>(preencher conforme indicado na Declaração Orçamentária);</w:t>
      </w:r>
    </w:p>
    <w:p w14:paraId="7C1906B7">
      <w:pPr>
        <w:spacing w:line="276" w:lineRule="auto"/>
        <w:jc w:val="both"/>
        <w:rPr>
          <w:rFonts w:ascii="Arial" w:hAnsi="Arial" w:cs="Arial"/>
          <w:sz w:val="24"/>
          <w:szCs w:val="24"/>
        </w:rPr>
      </w:pPr>
      <w:r>
        <w:rPr>
          <w:rFonts w:ascii="Arial" w:hAnsi="Arial" w:cs="Arial"/>
          <w:sz w:val="24"/>
          <w:szCs w:val="24"/>
        </w:rPr>
        <w:t xml:space="preserve">Programa de Trabalho: </w:t>
      </w:r>
      <w:r>
        <w:rPr>
          <w:rFonts w:ascii="Arial" w:hAnsi="Arial" w:cs="Arial"/>
          <w:sz w:val="24"/>
          <w:szCs w:val="24"/>
          <w:highlight w:val="darkGray"/>
        </w:rPr>
        <w:t>(preencher conforme indicado na Declaração Orçamentária);</w:t>
      </w:r>
    </w:p>
    <w:p w14:paraId="792CA7E2">
      <w:pPr>
        <w:spacing w:line="276" w:lineRule="auto"/>
        <w:jc w:val="both"/>
        <w:rPr>
          <w:rFonts w:ascii="Arial" w:hAnsi="Arial" w:cs="Arial"/>
          <w:sz w:val="24"/>
          <w:szCs w:val="24"/>
        </w:rPr>
      </w:pPr>
      <w:r>
        <w:rPr>
          <w:rFonts w:ascii="Arial" w:hAnsi="Arial" w:cs="Arial"/>
          <w:sz w:val="24"/>
          <w:szCs w:val="24"/>
        </w:rPr>
        <w:t xml:space="preserve">Elemento de Despesa: </w:t>
      </w:r>
      <w:r>
        <w:rPr>
          <w:rFonts w:ascii="Arial" w:hAnsi="Arial" w:cs="Arial"/>
          <w:sz w:val="24"/>
          <w:szCs w:val="24"/>
          <w:highlight w:val="darkGray"/>
        </w:rPr>
        <w:t>(preencher conforme indicado na Declaração Orçamentária).</w:t>
      </w:r>
    </w:p>
    <w:p w14:paraId="102E9E2C">
      <w:pPr>
        <w:spacing w:after="0" w:line="276" w:lineRule="auto"/>
        <w:jc w:val="both"/>
        <w:rPr>
          <w:rFonts w:ascii="Arial" w:hAnsi="Arial" w:cs="Arial"/>
          <w:sz w:val="24"/>
          <w:szCs w:val="24"/>
        </w:rPr>
      </w:pPr>
      <w:r>
        <w:rPr>
          <w:rFonts w:ascii="Arial" w:hAnsi="Arial" w:cs="Arial"/>
          <w:b/>
          <w:sz w:val="24"/>
          <w:szCs w:val="24"/>
        </w:rPr>
        <w:t>19.1.1</w:t>
      </w:r>
      <w:r>
        <w:rPr>
          <w:rFonts w:ascii="Arial" w:hAnsi="Arial" w:cs="Arial"/>
          <w:sz w:val="24"/>
          <w:szCs w:val="24"/>
        </w:rPr>
        <w:t xml:space="preserve"> E as demais dotações conforme OF (Ordem de Fornecimento) ou TED.</w:t>
      </w:r>
    </w:p>
    <w:p w14:paraId="49ADD256">
      <w:pPr>
        <w:spacing w:line="276" w:lineRule="auto"/>
        <w:jc w:val="both"/>
        <w:rPr>
          <w:rFonts w:ascii="Arial" w:hAnsi="Arial" w:cs="Arial"/>
          <w:sz w:val="24"/>
          <w:szCs w:val="24"/>
        </w:rPr>
      </w:pPr>
      <w:r>
        <w:rPr>
          <w:rFonts w:ascii="Arial" w:hAnsi="Arial" w:cs="Arial"/>
          <w:b/>
          <w:bCs/>
          <w:sz w:val="24"/>
          <w:szCs w:val="24"/>
        </w:rPr>
        <w:t>19.2</w:t>
      </w:r>
      <w:r>
        <w:rPr>
          <w:rFonts w:ascii="Arial" w:hAnsi="Arial" w:cs="Arial"/>
          <w:sz w:val="24"/>
          <w:szCs w:val="24"/>
        </w:rPr>
        <w:t xml:space="preserve"> As Atesto o alinhamento da Contratação com o Plano de Contratações Anual – PCA </w:t>
      </w:r>
      <w:r>
        <w:rPr>
          <w:rFonts w:ascii="Arial" w:hAnsi="Arial" w:cs="Arial"/>
          <w:sz w:val="24"/>
          <w:szCs w:val="24"/>
          <w:highlight w:val="darkGray"/>
        </w:rPr>
        <w:t>(inserir ANO)</w:t>
      </w:r>
      <w:r>
        <w:rPr>
          <w:rFonts w:ascii="Arial" w:hAnsi="Arial" w:cs="Arial"/>
          <w:sz w:val="24"/>
          <w:szCs w:val="24"/>
        </w:rPr>
        <w:t xml:space="preserve"> da instituição, com número de ordem </w:t>
      </w:r>
      <w:r>
        <w:rPr>
          <w:rFonts w:ascii="Arial" w:hAnsi="Arial" w:cs="Arial"/>
          <w:sz w:val="24"/>
          <w:szCs w:val="24"/>
          <w:highlight w:val="darkGray"/>
        </w:rPr>
        <w:t>xx</w:t>
      </w:r>
      <w:r>
        <w:rPr>
          <w:rFonts w:ascii="Arial" w:hAnsi="Arial" w:cs="Arial"/>
          <w:sz w:val="24"/>
          <w:szCs w:val="24"/>
        </w:rPr>
        <w:t>, informado no Estudo Técnico Preliminar – ETP.</w:t>
      </w:r>
    </w:p>
    <w:p w14:paraId="656EF182">
      <w:pPr>
        <w:spacing w:after="0" w:line="276" w:lineRule="auto"/>
        <w:jc w:val="both"/>
        <w:rPr>
          <w:rFonts w:ascii="Arial" w:hAnsi="Arial" w:cs="Arial"/>
          <w:sz w:val="24"/>
          <w:szCs w:val="24"/>
        </w:rPr>
      </w:pPr>
    </w:p>
    <w:p w14:paraId="0DB3CB3C">
      <w:pPr>
        <w:spacing w:after="0" w:line="276" w:lineRule="auto"/>
        <w:jc w:val="both"/>
        <w:rPr>
          <w:rFonts w:ascii="Arial" w:hAnsi="Arial" w:cs="Arial"/>
          <w:b/>
          <w:bCs/>
          <w:sz w:val="24"/>
          <w:szCs w:val="24"/>
        </w:rPr>
      </w:pPr>
      <w:r>
        <w:rPr>
          <w:rFonts w:ascii="Arial" w:hAnsi="Arial" w:cs="Arial"/>
          <w:b/>
          <w:bCs/>
          <w:sz w:val="24"/>
          <w:szCs w:val="24"/>
          <w:highlight w:val="darkGray"/>
        </w:rPr>
        <w:t>OU</w:t>
      </w:r>
    </w:p>
    <w:p w14:paraId="70081926">
      <w:pPr>
        <w:spacing w:after="0" w:line="276" w:lineRule="auto"/>
        <w:jc w:val="both"/>
        <w:rPr>
          <w:rFonts w:ascii="Arial" w:hAnsi="Arial" w:cs="Arial"/>
          <w:sz w:val="24"/>
          <w:szCs w:val="24"/>
        </w:rPr>
      </w:pPr>
    </w:p>
    <w:p w14:paraId="0E630832">
      <w:pPr>
        <w:spacing w:line="276" w:lineRule="auto"/>
        <w:jc w:val="both"/>
        <w:rPr>
          <w:rFonts w:ascii="Arial" w:hAnsi="Arial" w:cs="Arial"/>
          <w:sz w:val="24"/>
          <w:szCs w:val="24"/>
        </w:rPr>
      </w:pPr>
      <w:r>
        <w:rPr>
          <w:rFonts w:ascii="Arial" w:hAnsi="Arial" w:cs="Arial"/>
          <w:b/>
          <w:bCs/>
          <w:sz w:val="24"/>
          <w:szCs w:val="24"/>
        </w:rPr>
        <w:t>19.2</w:t>
      </w:r>
      <w:r>
        <w:rPr>
          <w:rFonts w:ascii="Arial" w:hAnsi="Arial" w:cs="Arial"/>
          <w:sz w:val="24"/>
          <w:szCs w:val="24"/>
        </w:rPr>
        <w:t xml:space="preserve"> O alinhamento da Contratação com o Plano de Contratações Anual – PCA </w:t>
      </w:r>
      <w:r>
        <w:rPr>
          <w:rFonts w:ascii="Arial" w:hAnsi="Arial" w:cs="Arial"/>
          <w:sz w:val="24"/>
          <w:szCs w:val="24"/>
          <w:highlight w:val="darkGray"/>
        </w:rPr>
        <w:t>(inserir ANO)</w:t>
      </w:r>
      <w:r>
        <w:rPr>
          <w:rFonts w:ascii="Arial" w:hAnsi="Arial" w:cs="Arial"/>
          <w:sz w:val="24"/>
          <w:szCs w:val="24"/>
        </w:rPr>
        <w:t xml:space="preserve"> da instituição está sendo providenciado, conforme Eprotocolo n.º </w:t>
      </w:r>
      <w:r>
        <w:rPr>
          <w:rFonts w:ascii="Arial" w:hAnsi="Arial" w:cs="Arial"/>
          <w:sz w:val="24"/>
          <w:szCs w:val="24"/>
          <w:highlight w:val="darkGray"/>
        </w:rPr>
        <w:t>xxxxxx</w:t>
      </w:r>
      <w:r>
        <w:rPr>
          <w:rFonts w:ascii="Arial" w:hAnsi="Arial" w:cs="Arial"/>
          <w:sz w:val="24"/>
          <w:szCs w:val="24"/>
        </w:rPr>
        <w:t>, informado no Estudo Técnico Preliminar – ETP.</w:t>
      </w:r>
    </w:p>
    <w:p w14:paraId="386697F8">
      <w:pPr>
        <w:spacing w:line="276" w:lineRule="auto"/>
        <w:jc w:val="both"/>
        <w:rPr>
          <w:rFonts w:ascii="Arial" w:hAnsi="Arial" w:cs="Arial"/>
          <w:sz w:val="24"/>
          <w:szCs w:val="24"/>
        </w:rPr>
      </w:pPr>
    </w:p>
    <w:p w14:paraId="2E1C134D">
      <w:pPr>
        <w:spacing w:after="0" w:line="276" w:lineRule="auto"/>
        <w:jc w:val="both"/>
        <w:rPr>
          <w:rFonts w:ascii="Arial" w:hAnsi="Arial" w:cs="Arial"/>
          <w:b/>
          <w:bCs/>
          <w:sz w:val="24"/>
          <w:szCs w:val="24"/>
        </w:rPr>
      </w:pPr>
      <w:r>
        <w:rPr>
          <w:rFonts w:ascii="Arial" w:hAnsi="Arial" w:cs="Arial"/>
          <w:b/>
          <w:bCs/>
          <w:sz w:val="24"/>
          <w:szCs w:val="24"/>
        </w:rPr>
        <w:t>20. SANÇÕES ADMINISTRATIVAS</w:t>
      </w:r>
    </w:p>
    <w:p w14:paraId="21B204C1">
      <w:pPr>
        <w:spacing w:after="0" w:line="276" w:lineRule="auto"/>
        <w:jc w:val="both"/>
        <w:rPr>
          <w:rFonts w:ascii="Arial" w:hAnsi="Arial" w:cs="Arial"/>
          <w:sz w:val="24"/>
          <w:szCs w:val="24"/>
        </w:rPr>
      </w:pPr>
    </w:p>
    <w:p w14:paraId="6180E10D">
      <w:pPr>
        <w:spacing w:line="276" w:lineRule="auto"/>
        <w:jc w:val="both"/>
        <w:rPr>
          <w:rFonts w:ascii="Arial" w:hAnsi="Arial" w:cs="Arial"/>
          <w:sz w:val="24"/>
          <w:szCs w:val="24"/>
        </w:rPr>
      </w:pPr>
      <w:r>
        <w:rPr>
          <w:rFonts w:ascii="Arial" w:hAnsi="Arial" w:cs="Arial"/>
          <w:b/>
          <w:bCs/>
          <w:sz w:val="24"/>
          <w:szCs w:val="24"/>
        </w:rPr>
        <w:t>20.1</w:t>
      </w:r>
      <w:r>
        <w:rPr>
          <w:rFonts w:ascii="Arial" w:hAnsi="Arial" w:cs="Arial"/>
          <w:sz w:val="24"/>
          <w:szCs w:val="24"/>
        </w:rPr>
        <w:t xml:space="preserve"> O licitante/fornecedor e o contratado que incorram em infrações sujeitam-se às sanções administrativas previstas no art. 156 da Lei Federal n.º 14.133, de 2021 e nos arts. 193 ao 227 do Decreto n.º 10.086, de 17 de janeiro 2022, sem prejuízo de eventuais implicações penais nos termos do que prevê o Capítulo II-B, do Título XI, do Código Penal.</w:t>
      </w:r>
    </w:p>
    <w:p w14:paraId="14677F3B">
      <w:pPr>
        <w:spacing w:line="276" w:lineRule="auto"/>
        <w:jc w:val="both"/>
        <w:rPr>
          <w:rFonts w:ascii="Arial" w:hAnsi="Arial" w:cs="Arial"/>
          <w:sz w:val="24"/>
          <w:szCs w:val="24"/>
        </w:rPr>
      </w:pPr>
    </w:p>
    <w:p w14:paraId="3C04D587">
      <w:pPr>
        <w:spacing w:after="0" w:line="276" w:lineRule="auto"/>
        <w:jc w:val="both"/>
        <w:rPr>
          <w:rFonts w:ascii="Arial" w:hAnsi="Arial" w:cs="Arial"/>
          <w:b/>
          <w:bCs/>
          <w:sz w:val="24"/>
          <w:szCs w:val="24"/>
        </w:rPr>
      </w:pPr>
      <w:r>
        <w:rPr>
          <w:rFonts w:ascii="Arial" w:hAnsi="Arial" w:cs="Arial"/>
          <w:b/>
          <w:bCs/>
          <w:sz w:val="24"/>
          <w:szCs w:val="24"/>
        </w:rPr>
        <w:t>21. DECRETO ESTADUAL N.º 10.086, de 2022</w:t>
      </w:r>
    </w:p>
    <w:p w14:paraId="31714E3F">
      <w:pPr>
        <w:spacing w:after="0" w:line="276" w:lineRule="auto"/>
        <w:jc w:val="both"/>
        <w:rPr>
          <w:rFonts w:ascii="Arial" w:hAnsi="Arial" w:cs="Arial"/>
          <w:sz w:val="24"/>
          <w:szCs w:val="24"/>
        </w:rPr>
      </w:pPr>
    </w:p>
    <w:p w14:paraId="1F6A7840">
      <w:pPr>
        <w:spacing w:line="276" w:lineRule="auto"/>
        <w:jc w:val="both"/>
        <w:rPr>
          <w:rFonts w:ascii="Arial" w:hAnsi="Arial" w:cs="Arial"/>
          <w:sz w:val="24"/>
          <w:szCs w:val="24"/>
        </w:rPr>
      </w:pPr>
      <w:r>
        <w:rPr>
          <w:rFonts w:ascii="Arial" w:hAnsi="Arial" w:cs="Arial"/>
          <w:b/>
          <w:bCs/>
          <w:sz w:val="24"/>
          <w:szCs w:val="24"/>
        </w:rPr>
        <w:t>21.1</w:t>
      </w:r>
      <w:r>
        <w:rPr>
          <w:rFonts w:ascii="Arial" w:hAnsi="Arial" w:cs="Arial"/>
          <w:sz w:val="24"/>
          <w:szCs w:val="24"/>
        </w:rPr>
        <w:t xml:space="preserve"> Os servidores que subscrevem este Termo de Referência atestam que observaram integralmente a regulamentação estabelecida pelo Decreto n.º 10.086, de 2022 e as orientações constantes da Minuta Padronizada aprovada pelo Procurador-Geral do Estado do Paraná.</w:t>
      </w:r>
    </w:p>
    <w:p w14:paraId="2B0BB8F7">
      <w:pPr>
        <w:spacing w:line="276" w:lineRule="auto"/>
        <w:jc w:val="both"/>
        <w:rPr>
          <w:rFonts w:ascii="Arial" w:hAnsi="Arial" w:cs="Arial"/>
          <w:sz w:val="24"/>
          <w:szCs w:val="24"/>
        </w:rPr>
      </w:pPr>
    </w:p>
    <w:p w14:paraId="35B7D4E7">
      <w:pPr>
        <w:pStyle w:val="11"/>
        <w:pBdr>
          <w:bottom w:val="none" w:color="000000" w:sz="0" w:space="0"/>
        </w:pBdr>
        <w:tabs>
          <w:tab w:val="left" w:pos="2123"/>
        </w:tabs>
        <w:spacing w:after="120" w:line="240" w:lineRule="auto"/>
        <w:jc w:val="both"/>
        <w:rPr>
          <w:b/>
          <w:bCs/>
          <w:sz w:val="24"/>
          <w:szCs w:val="24"/>
        </w:rPr>
      </w:pPr>
      <w:r>
        <w:rPr>
          <w:b/>
          <w:sz w:val="24"/>
          <w:szCs w:val="24"/>
        </w:rPr>
        <w:t xml:space="preserve">22. </w:t>
      </w:r>
      <w:r>
        <w:rPr>
          <w:b/>
          <w:bCs/>
          <w:sz w:val="24"/>
          <w:szCs w:val="24"/>
        </w:rPr>
        <w:t>GERENCIAMENTO DE RISCO</w:t>
      </w:r>
    </w:p>
    <w:p w14:paraId="2DE5D786">
      <w:pPr>
        <w:pStyle w:val="11"/>
        <w:pBdr>
          <w:bottom w:val="none" w:color="000000" w:sz="0" w:space="0"/>
        </w:pBdr>
        <w:tabs>
          <w:tab w:val="left" w:pos="2123"/>
        </w:tabs>
        <w:spacing w:after="120" w:line="240" w:lineRule="auto"/>
        <w:ind w:hanging="2"/>
        <w:jc w:val="both"/>
        <w:rPr>
          <w:color w:val="FF0000"/>
          <w:sz w:val="24"/>
          <w:szCs w:val="24"/>
        </w:rPr>
      </w:pPr>
      <w:r>
        <w:rPr>
          <w:b/>
          <w:sz w:val="24"/>
          <w:szCs w:val="24"/>
        </w:rPr>
        <w:t xml:space="preserve">22.1 </w:t>
      </w:r>
      <w:r>
        <w:rPr>
          <w:sz w:val="24"/>
          <w:szCs w:val="24"/>
        </w:rPr>
        <w:t>O gerenciamento de risco foi realizado junto ao Estudo Técnico Preliminar, nos termos do art. 17B, do Decreto nº 10.086, materializado através do Mapa de Risco e atualizado nos termos do seu § 9º, II, e juntado aos autos do processo de contratação. </w:t>
      </w:r>
    </w:p>
    <w:p w14:paraId="126016B5">
      <w:pPr>
        <w:spacing w:line="276" w:lineRule="auto"/>
        <w:jc w:val="both"/>
        <w:rPr>
          <w:rFonts w:ascii="Arial" w:hAnsi="Arial" w:cs="Arial"/>
          <w:b/>
          <w:sz w:val="24"/>
          <w:szCs w:val="24"/>
        </w:rPr>
      </w:pPr>
      <w:r>
        <w:rPr>
          <w:rFonts w:ascii="Arial" w:hAnsi="Arial" w:cs="Arial"/>
          <w:b/>
          <w:sz w:val="24"/>
          <w:szCs w:val="24"/>
          <w:highlight w:val="darkGray"/>
        </w:rPr>
        <w:t>OU</w:t>
      </w:r>
    </w:p>
    <w:p w14:paraId="3A66D938">
      <w:pPr>
        <w:spacing w:line="276" w:lineRule="auto"/>
        <w:jc w:val="both"/>
        <w:rPr>
          <w:rFonts w:ascii="Arial" w:hAnsi="Arial" w:cs="Arial"/>
          <w:sz w:val="24"/>
          <w:szCs w:val="24"/>
        </w:rPr>
      </w:pPr>
      <w:r>
        <w:rPr>
          <w:rFonts w:ascii="Arial" w:hAnsi="Arial" w:cs="Arial"/>
          <w:b/>
          <w:sz w:val="24"/>
          <w:szCs w:val="24"/>
        </w:rPr>
        <w:t>22.1</w:t>
      </w:r>
      <w:r>
        <w:rPr>
          <w:rFonts w:ascii="Arial" w:hAnsi="Arial" w:cs="Arial"/>
          <w:sz w:val="24"/>
          <w:szCs w:val="24"/>
        </w:rPr>
        <w:t xml:space="preserve"> O gerenciamento de risco foi dispensado nos termos do que prevê o art. 17B, §§ 2º e 3º, do Decreto nº 10.086/2022, conforme justificativa constante no Estudo Técnico Preliminar.</w:t>
      </w:r>
    </w:p>
    <w:p w14:paraId="4B6AA448">
      <w:pPr>
        <w:spacing w:line="276" w:lineRule="auto"/>
        <w:jc w:val="both"/>
        <w:rPr>
          <w:rFonts w:ascii="Arial" w:hAnsi="Arial" w:cs="Arial"/>
          <w:sz w:val="24"/>
          <w:szCs w:val="24"/>
        </w:rPr>
      </w:pPr>
    </w:p>
    <w:p w14:paraId="6A196BB2">
      <w:pPr>
        <w:spacing w:line="276" w:lineRule="auto"/>
        <w:jc w:val="both"/>
        <w:rPr>
          <w:rFonts w:ascii="Arial" w:hAnsi="Arial" w:cs="Arial"/>
          <w:sz w:val="24"/>
          <w:szCs w:val="24"/>
        </w:rPr>
      </w:pPr>
      <w:r>
        <w:rPr>
          <w:rFonts w:ascii="Arial" w:hAnsi="Arial" w:cs="Arial"/>
          <w:sz w:val="24"/>
          <w:szCs w:val="24"/>
        </w:rPr>
        <w:t xml:space="preserve">Maringá, </w:t>
      </w:r>
      <w:r>
        <w:rPr>
          <w:rFonts w:ascii="Arial" w:hAnsi="Arial" w:cs="Arial"/>
          <w:sz w:val="24"/>
          <w:szCs w:val="24"/>
          <w:highlight w:val="lightGray"/>
        </w:rPr>
        <w:t>XX</w:t>
      </w:r>
      <w:r>
        <w:rPr>
          <w:rFonts w:ascii="Arial" w:hAnsi="Arial" w:cs="Arial"/>
          <w:sz w:val="24"/>
          <w:szCs w:val="24"/>
        </w:rPr>
        <w:t xml:space="preserve"> de </w:t>
      </w:r>
      <w:r>
        <w:rPr>
          <w:rFonts w:ascii="Arial" w:hAnsi="Arial" w:cs="Arial"/>
          <w:sz w:val="24"/>
          <w:szCs w:val="24"/>
          <w:highlight w:val="lightGray"/>
        </w:rPr>
        <w:t>XXXXXXXXXX</w:t>
      </w:r>
      <w:r>
        <w:rPr>
          <w:rFonts w:ascii="Arial" w:hAnsi="Arial" w:cs="Arial"/>
          <w:sz w:val="24"/>
          <w:szCs w:val="24"/>
        </w:rPr>
        <w:t xml:space="preserve"> de 202</w:t>
      </w:r>
      <w:r>
        <w:rPr>
          <w:rFonts w:ascii="Arial" w:hAnsi="Arial" w:cs="Arial"/>
          <w:sz w:val="24"/>
          <w:szCs w:val="24"/>
          <w:highlight w:val="lightGray"/>
        </w:rPr>
        <w:t>X</w:t>
      </w:r>
      <w:r>
        <w:rPr>
          <w:rFonts w:ascii="Arial" w:hAnsi="Arial" w:cs="Arial"/>
          <w:sz w:val="24"/>
          <w:szCs w:val="24"/>
        </w:rPr>
        <w:t>.</w:t>
      </w:r>
    </w:p>
    <w:p w14:paraId="7D4FFF93">
      <w:pPr>
        <w:spacing w:line="276" w:lineRule="auto"/>
        <w:jc w:val="both"/>
        <w:rPr>
          <w:rFonts w:ascii="Arial" w:hAnsi="Arial" w:cs="Arial"/>
          <w:sz w:val="24"/>
          <w:szCs w:val="24"/>
        </w:rPr>
      </w:pPr>
    </w:p>
    <w:p w14:paraId="7833CDB0">
      <w:pPr>
        <w:spacing w:line="276" w:lineRule="auto"/>
        <w:jc w:val="both"/>
        <w:rPr>
          <w:rFonts w:ascii="Arial" w:hAnsi="Arial" w:cs="Arial"/>
          <w:sz w:val="24"/>
          <w:szCs w:val="24"/>
        </w:rPr>
      </w:pPr>
      <w:r>
        <w:rPr>
          <w:rFonts w:ascii="Arial" w:hAnsi="Arial" w:cs="Arial"/>
          <w:sz w:val="24"/>
          <w:szCs w:val="24"/>
        </w:rPr>
        <w:t>(Nome do servidor)</w:t>
      </w:r>
    </w:p>
    <w:p w14:paraId="7BA753A7">
      <w:pPr>
        <w:spacing w:line="276" w:lineRule="auto"/>
        <w:jc w:val="both"/>
        <w:rPr>
          <w:rFonts w:ascii="Arial" w:hAnsi="Arial" w:cs="Arial"/>
          <w:sz w:val="24"/>
          <w:szCs w:val="24"/>
        </w:rPr>
      </w:pPr>
      <w:r>
        <w:rPr>
          <w:rFonts w:ascii="Arial" w:hAnsi="Arial" w:cs="Arial"/>
          <w:sz w:val="24"/>
          <w:szCs w:val="24"/>
        </w:rPr>
        <w:t>(cargo)</w:t>
      </w:r>
    </w:p>
    <w:p w14:paraId="5C4B6635">
      <w:pPr>
        <w:spacing w:line="276" w:lineRule="auto"/>
        <w:jc w:val="both"/>
        <w:rPr>
          <w:rFonts w:ascii="Arial" w:hAnsi="Arial" w:cs="Arial"/>
          <w:sz w:val="24"/>
          <w:szCs w:val="24"/>
        </w:rPr>
      </w:pPr>
      <w:r>
        <w:rPr>
          <w:rFonts w:ascii="Arial" w:hAnsi="Arial" w:cs="Arial"/>
          <w:sz w:val="24"/>
          <w:szCs w:val="24"/>
        </w:rPr>
        <w:t>Responsável pela elaboração do Termo de Referência</w:t>
      </w:r>
    </w:p>
    <w:sectPr>
      <w:headerReference r:id="rId5" w:type="first"/>
      <w:pgSz w:w="11906" w:h="16838"/>
      <w:pgMar w:top="574" w:right="1134" w:bottom="864" w:left="1701" w:header="49" w:footer="26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Liberation Serif">
    <w:panose1 w:val="02020603050405020304"/>
    <w:charset w:val="00"/>
    <w:family w:val="roman"/>
    <w:pitch w:val="default"/>
    <w:sig w:usb0="E0000AFF" w:usb1="500078FF" w:usb2="00000021" w:usb3="00000000" w:csb0="600001BF" w:csb1="DFF70000"/>
  </w:font>
  <w:font w:name="Arial Rounded">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2ED4F">
    <w:pPr>
      <w:spacing w:after="0"/>
    </w:pPr>
  </w:p>
  <w:tbl>
    <w:tblPr>
      <w:tblStyle w:val="3"/>
      <w:tblW w:w="9850" w:type="dxa"/>
      <w:tblInd w:w="-357" w:type="dxa"/>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Layout w:type="fixed"/>
      <w:tblCellMar>
        <w:top w:w="0" w:type="dxa"/>
        <w:left w:w="108" w:type="dxa"/>
        <w:bottom w:w="0" w:type="dxa"/>
        <w:right w:w="108" w:type="dxa"/>
      </w:tblCellMar>
    </w:tblPr>
    <w:tblGrid>
      <w:gridCol w:w="1434"/>
      <w:gridCol w:w="6906"/>
      <w:gridCol w:w="1510"/>
    </w:tblGrid>
    <w:tr w14:paraId="53C01109">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cantSplit/>
        <w:trHeight w:val="2077" w:hRule="atLeast"/>
        <w:tblHeader/>
      </w:trPr>
      <w:tc>
        <w:tcPr>
          <w:tcW w:w="1434" w:type="dxa"/>
          <w:tcBorders>
            <w:top w:val="single" w:color="000000" w:sz="4" w:space="0"/>
            <w:left w:val="single" w:color="000000" w:sz="4" w:space="0"/>
            <w:bottom w:val="single" w:color="000000" w:sz="4" w:space="0"/>
            <w:right w:val="single" w:color="000000" w:sz="4" w:space="0"/>
          </w:tcBorders>
        </w:tcPr>
        <w:p w14:paraId="4EFE1997">
          <w:pPr>
            <w:rPr>
              <w:rFonts w:ascii="Arial Rounded" w:hAnsi="Arial Rounded" w:eastAsia="Arial Rounded" w:cs="Arial Rounded"/>
              <w:color w:val="000000"/>
              <w:szCs w:val="24"/>
            </w:rPr>
          </w:pPr>
          <w:r>
            <w:rPr>
              <w:lang w:eastAsia="pt-BR"/>
            </w:rPr>
            <w:drawing>
              <wp:anchor distT="0" distB="0" distL="114300" distR="114300" simplePos="0" relativeHeight="251659264" behindDoc="0" locked="0" layoutInCell="1" allowOverlap="1">
                <wp:simplePos x="0" y="0"/>
                <wp:positionH relativeFrom="column">
                  <wp:posOffset>66675</wp:posOffset>
                </wp:positionH>
                <wp:positionV relativeFrom="paragraph">
                  <wp:posOffset>255270</wp:posOffset>
                </wp:positionV>
                <wp:extent cx="731520" cy="915035"/>
                <wp:effectExtent l="0" t="0" r="0" b="0"/>
                <wp:wrapSquare wrapText="bothSides"/>
                <wp:docPr id="1302366121" name="image1.jpg"/>
                <wp:cNvGraphicFramePr/>
                <a:graphic xmlns:a="http://schemas.openxmlformats.org/drawingml/2006/main">
                  <a:graphicData uri="http://schemas.openxmlformats.org/drawingml/2006/picture">
                    <pic:pic xmlns:pic="http://schemas.openxmlformats.org/drawingml/2006/picture">
                      <pic:nvPicPr>
                        <pic:cNvPr id="1302366121" name="image1.jpg"/>
                        <pic:cNvPicPr preferRelativeResize="0"/>
                      </pic:nvPicPr>
                      <pic:blipFill>
                        <a:blip r:embed="rId1"/>
                        <a:srcRect/>
                        <a:stretch>
                          <a:fillRect/>
                        </a:stretch>
                      </pic:blipFill>
                      <pic:spPr>
                        <a:xfrm>
                          <a:off x="0" y="0"/>
                          <a:ext cx="731520" cy="915035"/>
                        </a:xfrm>
                        <a:prstGeom prst="rect">
                          <a:avLst/>
                        </a:prstGeom>
                      </pic:spPr>
                    </pic:pic>
                  </a:graphicData>
                </a:graphic>
              </wp:anchor>
            </w:drawing>
          </w:r>
        </w:p>
      </w:tc>
      <w:tc>
        <w:tcPr>
          <w:tcW w:w="6906" w:type="dxa"/>
          <w:tcBorders>
            <w:top w:val="single" w:color="000000" w:sz="4" w:space="0"/>
            <w:left w:val="single" w:color="000000" w:sz="4" w:space="0"/>
            <w:bottom w:val="single" w:color="000000" w:sz="4" w:space="0"/>
            <w:right w:val="single" w:color="000000" w:sz="4" w:space="0"/>
          </w:tcBorders>
        </w:tcPr>
        <w:p w14:paraId="38EB4EFD"/>
        <w:p w14:paraId="69514C07">
          <w:pPr>
            <w:spacing w:after="0"/>
            <w:rPr>
              <w:rFonts w:ascii="Liberation Serif" w:hAnsi="Liberation Serif" w:cs="Liberation Serif"/>
              <w:sz w:val="28"/>
              <w:szCs w:val="28"/>
            </w:rPr>
          </w:pPr>
          <w:r>
            <w:rPr>
              <w:rFonts w:ascii="Liberation Serif" w:hAnsi="Liberation Serif" w:cs="Liberation Serif"/>
              <w:sz w:val="28"/>
              <w:szCs w:val="28"/>
            </w:rPr>
            <w:t xml:space="preserve">Universidade Estadual de Maringá - UEM </w:t>
          </w:r>
        </w:p>
        <w:p w14:paraId="3CB87745">
          <w:pPr>
            <w:spacing w:after="0"/>
            <w:rPr>
              <w:rFonts w:ascii="Liberation Serif" w:hAnsi="Liberation Serif" w:cs="Liberation Serif"/>
              <w:sz w:val="24"/>
              <w:szCs w:val="24"/>
            </w:rPr>
          </w:pPr>
          <w:r>
            <w:rPr>
              <w:rFonts w:ascii="Liberation Serif" w:hAnsi="Liberation Serif" w:cs="Liberation Serif"/>
              <w:sz w:val="24"/>
              <w:szCs w:val="24"/>
            </w:rPr>
            <w:t>Av. Colombo, 5.790 - Câmpus Universitário – CEP: 87020-900</w:t>
          </w:r>
        </w:p>
        <w:p w14:paraId="33DFBB31">
          <w:pPr>
            <w:spacing w:after="0"/>
            <w:rPr>
              <w:rFonts w:ascii="Liberation Serif" w:hAnsi="Liberation Serif" w:cs="Liberation Serif"/>
              <w:sz w:val="24"/>
              <w:szCs w:val="24"/>
            </w:rPr>
          </w:pPr>
          <w:r>
            <w:rPr>
              <w:rFonts w:ascii="Liberation Serif" w:hAnsi="Liberation Serif" w:cs="Liberation Serif"/>
              <w:sz w:val="24"/>
              <w:szCs w:val="24"/>
            </w:rPr>
            <w:t>CNPJ/MF: 79.151.312/0001-56</w:t>
          </w:r>
        </w:p>
        <w:p w14:paraId="5E4C9214">
          <w:pPr>
            <w:spacing w:after="0"/>
          </w:pPr>
          <w:r>
            <w:rPr>
              <w:rFonts w:ascii="Liberation Serif" w:hAnsi="Liberation Serif" w:cs="Liberation Serif"/>
              <w:sz w:val="24"/>
              <w:szCs w:val="24"/>
            </w:rPr>
            <w:t>Inscrição Estadual: Isenta</w:t>
          </w:r>
        </w:p>
      </w:tc>
      <w:tc>
        <w:tcPr>
          <w:tcW w:w="1510" w:type="dxa"/>
          <w:tcBorders>
            <w:top w:val="single" w:color="000000" w:sz="4" w:space="0"/>
            <w:left w:val="single" w:color="000000" w:sz="4" w:space="0"/>
            <w:bottom w:val="single" w:color="000000" w:sz="4" w:space="0"/>
            <w:right w:val="single" w:color="000000" w:sz="4" w:space="0"/>
          </w:tcBorders>
        </w:tcPr>
        <w:p w14:paraId="18D0E91F">
          <w:pPr>
            <w:rPr>
              <w:rFonts w:ascii="Tahoma" w:hAnsi="Tahoma" w:eastAsia="Tahoma" w:cs="Tahoma"/>
              <w:sz w:val="28"/>
              <w:szCs w:val="28"/>
            </w:rPr>
          </w:pPr>
          <w:r>
            <w:rPr>
              <w:lang w:eastAsia="pt-BR"/>
            </w:rPr>
            <w:drawing>
              <wp:inline distT="0" distB="0" distL="114300" distR="114300">
                <wp:extent cx="753745" cy="965200"/>
                <wp:effectExtent l="0" t="0" r="0" b="0"/>
                <wp:docPr id="1246577587" name="image2.jpg" descr="http://www.paranacidade.org.br/arquivos/File/logos/2019/logo_governo_vertical.jpg"/>
                <wp:cNvGraphicFramePr/>
                <a:graphic xmlns:a="http://schemas.openxmlformats.org/drawingml/2006/main">
                  <a:graphicData uri="http://schemas.openxmlformats.org/drawingml/2006/picture">
                    <pic:pic xmlns:pic="http://schemas.openxmlformats.org/drawingml/2006/picture">
                      <pic:nvPicPr>
                        <pic:cNvPr id="1246577587" name="image2.jpg" descr="http://www.paranacidade.org.br/arquivos/File/logos/2019/logo_governo_vertical.jpg"/>
                        <pic:cNvPicPr preferRelativeResize="0"/>
                      </pic:nvPicPr>
                      <pic:blipFill>
                        <a:blip r:embed="rId2"/>
                        <a:srcRect/>
                        <a:stretch>
                          <a:fillRect/>
                        </a:stretch>
                      </pic:blipFill>
                      <pic:spPr>
                        <a:xfrm>
                          <a:off x="0" y="0"/>
                          <a:ext cx="753745" cy="965200"/>
                        </a:xfrm>
                        <a:prstGeom prst="rect">
                          <a:avLst/>
                        </a:prstGeom>
                      </pic:spPr>
                    </pic:pic>
                  </a:graphicData>
                </a:graphic>
              </wp:inline>
            </w:drawing>
          </w:r>
        </w:p>
      </w:tc>
    </w:tr>
  </w:tbl>
  <w:p w14:paraId="2CC7E4AA">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doNotExpandShiftReturn/>
    <w:compatSetting w:name="compatibilityMode" w:uri="http://schemas.microsoft.com/office/word" w:val="12"/>
  </w:compat>
  <w:rsids>
    <w:rsidRoot w:val="00662A75"/>
    <w:rsid w:val="000343FC"/>
    <w:rsid w:val="000F120F"/>
    <w:rsid w:val="00127F25"/>
    <w:rsid w:val="00194653"/>
    <w:rsid w:val="001C4281"/>
    <w:rsid w:val="00251938"/>
    <w:rsid w:val="00314751"/>
    <w:rsid w:val="00345A63"/>
    <w:rsid w:val="0041691D"/>
    <w:rsid w:val="005307F6"/>
    <w:rsid w:val="005532F8"/>
    <w:rsid w:val="00662A75"/>
    <w:rsid w:val="006778FD"/>
    <w:rsid w:val="006D7BE2"/>
    <w:rsid w:val="00786DEB"/>
    <w:rsid w:val="007B0486"/>
    <w:rsid w:val="007D1A14"/>
    <w:rsid w:val="00942631"/>
    <w:rsid w:val="00A40006"/>
    <w:rsid w:val="00AD10D1"/>
    <w:rsid w:val="00AE5EC5"/>
    <w:rsid w:val="00B345ED"/>
    <w:rsid w:val="00B43003"/>
    <w:rsid w:val="00BD5922"/>
    <w:rsid w:val="00D62D4B"/>
    <w:rsid w:val="00DC38F6"/>
    <w:rsid w:val="00E64A22"/>
    <w:rsid w:val="00F07581"/>
    <w:rsid w:val="00F351B8"/>
    <w:rsid w:val="00F4556B"/>
    <w:rsid w:val="00F55DF3"/>
    <w:rsid w:val="00F728BE"/>
    <w:rsid w:val="00F75870"/>
    <w:rsid w:val="182A441C"/>
    <w:rsid w:val="2D715DFD"/>
    <w:rsid w:val="723C5837"/>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pt-B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uiPriority w:val="99"/>
    <w:rPr>
      <w:szCs w:val="24"/>
    </w:rPr>
  </w:style>
  <w:style w:type="paragraph" w:styleId="5">
    <w:name w:val="header"/>
    <w:basedOn w:val="1"/>
    <w:link w:val="8"/>
    <w:unhideWhenUsed/>
    <w:qFormat/>
    <w:uiPriority w:val="99"/>
    <w:pPr>
      <w:tabs>
        <w:tab w:val="center" w:pos="4252"/>
        <w:tab w:val="right" w:pos="8504"/>
      </w:tabs>
      <w:spacing w:after="0" w:line="240" w:lineRule="auto"/>
    </w:pPr>
  </w:style>
  <w:style w:type="paragraph" w:styleId="6">
    <w:name w:val="footer"/>
    <w:basedOn w:val="1"/>
    <w:link w:val="9"/>
    <w:unhideWhenUsed/>
    <w:qFormat/>
    <w:uiPriority w:val="99"/>
    <w:pPr>
      <w:tabs>
        <w:tab w:val="center" w:pos="4252"/>
        <w:tab w:val="right" w:pos="8504"/>
      </w:tabs>
      <w:spacing w:after="0" w:line="240" w:lineRule="auto"/>
    </w:pPr>
  </w:style>
  <w:style w:type="paragraph" w:styleId="7">
    <w:name w:val="Balloon Text"/>
    <w:basedOn w:val="1"/>
    <w:link w:val="10"/>
    <w:semiHidden/>
    <w:unhideWhenUsed/>
    <w:qFormat/>
    <w:uiPriority w:val="99"/>
    <w:pPr>
      <w:spacing w:after="0" w:line="240" w:lineRule="auto"/>
    </w:pPr>
    <w:rPr>
      <w:rFonts w:ascii="Tahoma" w:hAnsi="Tahoma" w:cs="Tahoma"/>
      <w:sz w:val="16"/>
      <w:szCs w:val="16"/>
    </w:rPr>
  </w:style>
  <w:style w:type="character" w:customStyle="1" w:styleId="8">
    <w:name w:val="Cabeçalho Char"/>
    <w:basedOn w:val="2"/>
    <w:link w:val="5"/>
    <w:qFormat/>
    <w:uiPriority w:val="99"/>
  </w:style>
  <w:style w:type="character" w:customStyle="1" w:styleId="9">
    <w:name w:val="Rodapé Char"/>
    <w:basedOn w:val="2"/>
    <w:link w:val="6"/>
    <w:uiPriority w:val="99"/>
  </w:style>
  <w:style w:type="character" w:customStyle="1" w:styleId="10">
    <w:name w:val="Texto de balão Char"/>
    <w:basedOn w:val="2"/>
    <w:link w:val="7"/>
    <w:semiHidden/>
    <w:qFormat/>
    <w:uiPriority w:val="99"/>
    <w:rPr>
      <w:rFonts w:ascii="Tahoma" w:hAnsi="Tahoma" w:cs="Tahoma"/>
      <w:sz w:val="16"/>
      <w:szCs w:val="16"/>
    </w:rPr>
  </w:style>
  <w:style w:type="paragraph" w:customStyle="1" w:styleId="11">
    <w:name w:val="Normal5"/>
    <w:qFormat/>
    <w:uiPriority w:val="0"/>
    <w:pPr>
      <w:spacing w:line="276" w:lineRule="auto"/>
    </w:pPr>
    <w:rPr>
      <w:rFonts w:ascii="Arial" w:hAnsi="Arial" w:eastAsia="Arial" w:cs="Arial"/>
      <w:sz w:val="22"/>
      <w:szCs w:val="22"/>
      <w:lang w:val="pt-BR" w:eastAsia="pt-BR" w:bidi="ar-SA"/>
    </w:rPr>
  </w:style>
  <w:style w:type="paragraph" w:customStyle="1" w:styleId="12">
    <w:name w:val="normal"/>
    <w:qFormat/>
    <w:uiPriority w:val="0"/>
    <w:pPr>
      <w:spacing w:line="276" w:lineRule="auto"/>
    </w:pPr>
    <w:rPr>
      <w:rFonts w:ascii="Arial" w:hAnsi="Arial" w:eastAsia="Arial" w:cs="Arial"/>
      <w:sz w:val="22"/>
      <w:szCs w:val="22"/>
      <w:lang w:val="pt-BR" w:eastAsia="pt-BR" w:bidi="ar-SA"/>
    </w:rPr>
  </w:style>
  <w:style w:type="paragraph" w:customStyle="1" w:styleId="13">
    <w:name w:val="normal4"/>
    <w:basedOn w:val="1"/>
    <w:uiPriority w:val="0"/>
    <w:pPr>
      <w:spacing w:after="0" w:line="273" w:lineRule="auto"/>
    </w:pPr>
    <w:rPr>
      <w:rFonts w:ascii="Arial" w:hAnsi="Arial" w:eastAsia="Times New Roman" w:cs="Arial"/>
      <w:kern w:val="0"/>
      <w:sz w:val="24"/>
      <w:szCs w:val="24"/>
      <w:lang w:eastAsia="pt-B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77E53-57BC-4956-B5CD-5D1054CE88CB}">
  <ds:schemaRefs/>
</ds:datastoreItem>
</file>

<file path=docProps/app.xml><?xml version="1.0" encoding="utf-8"?>
<Properties xmlns="http://schemas.openxmlformats.org/officeDocument/2006/extended-properties" xmlns:vt="http://schemas.openxmlformats.org/officeDocument/2006/docPropsVTypes">
  <Template>Normal</Template>
  <Company>UEM</Company>
  <Pages>17</Pages>
  <Words>5294</Words>
  <Characters>28591</Characters>
  <Lines>238</Lines>
  <Paragraphs>67</Paragraphs>
  <TotalTime>105</TotalTime>
  <ScaleCrop>false</ScaleCrop>
  <LinksUpToDate>false</LinksUpToDate>
  <CharactersWithSpaces>33818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2024-07-31T14:39:00Z</dcterms:created>
  <dc:creator>mamoleiro</dc:creator>
  <cp:lastModifiedBy>Mariana Nascimento e Silva</cp:lastModifiedBy>
  <dcterms:modified xsi:type="dcterms:W3CDTF">2026-02-27T13:25:00Z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48B8BCB097D440D6B2B2211CAFAAB35B_12</vt:lpwstr>
  </property>
</Properties>
</file>